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BE" w:rsidRPr="00906F36" w:rsidRDefault="00D57BBE" w:rsidP="00D57B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06F36">
        <w:rPr>
          <w:rFonts w:ascii="Arial" w:hAnsi="Arial" w:cs="Arial"/>
          <w:b/>
          <w:sz w:val="22"/>
          <w:szCs w:val="22"/>
          <w:lang w:val="en-GB"/>
        </w:rPr>
        <w:t xml:space="preserve">MOLECULAR DIAGNOSIS OF CONGENITAL CENTRAL HYPOVENTILATION SYNDROME (CCHS) IN SPAIN </w:t>
      </w:r>
    </w:p>
    <w:p w:rsidR="00D57BBE" w:rsidRPr="00906F36" w:rsidRDefault="00D57BBE" w:rsidP="00D57BB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6F36">
        <w:rPr>
          <w:rFonts w:ascii="Arial" w:hAnsi="Arial" w:cs="Arial"/>
          <w:sz w:val="22"/>
          <w:szCs w:val="22"/>
          <w:u w:val="single"/>
          <w:lang w:val="pt-BR"/>
        </w:rPr>
        <w:t>García-Teresa MA</w:t>
      </w:r>
      <w:r w:rsidRPr="00906F36">
        <w:rPr>
          <w:rFonts w:ascii="Arial" w:hAnsi="Arial" w:cs="Arial"/>
          <w:sz w:val="22"/>
          <w:szCs w:val="22"/>
          <w:lang w:val="pt-BR"/>
        </w:rPr>
        <w:t xml:space="preserve"> (1), Porto-Abal R (1), López-Fernández Y (2), Zurita-Muñoz O (3), Gómez-Núñez A (3), Campos-Barros A (3). </w:t>
      </w:r>
    </w:p>
    <w:p w:rsidR="00D57BBE" w:rsidRPr="00906F36" w:rsidRDefault="00D57BBE" w:rsidP="00D57BBE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57BBE" w:rsidRPr="00906F36" w:rsidRDefault="00D57BBE" w:rsidP="00D57BB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6F36">
        <w:rPr>
          <w:rFonts w:ascii="Arial" w:hAnsi="Arial" w:cs="Arial"/>
          <w:sz w:val="22"/>
          <w:szCs w:val="22"/>
          <w:lang w:val="pt-BR"/>
        </w:rPr>
        <w:t xml:space="preserve">(1): Cuidados Intensivos Pediátricos, Hosp. Infantil Univ. Niño Jesús, Madrid, SPAIN; (2): Unidad de Cuidados Intensivos Pediátricos, Hosp. de Cruces, Bilbao, SPAIN; </w:t>
      </w:r>
    </w:p>
    <w:p w:rsidR="00D57BBE" w:rsidRPr="00906F36" w:rsidRDefault="00D57BBE" w:rsidP="00D57BBE">
      <w:pPr>
        <w:jc w:val="both"/>
        <w:rPr>
          <w:rFonts w:ascii="Arial" w:hAnsi="Arial" w:cs="Arial"/>
          <w:sz w:val="22"/>
          <w:szCs w:val="22"/>
        </w:rPr>
      </w:pPr>
      <w:r w:rsidRPr="00906F36">
        <w:rPr>
          <w:rFonts w:ascii="Arial" w:hAnsi="Arial" w:cs="Arial"/>
          <w:sz w:val="22"/>
          <w:szCs w:val="22"/>
          <w:lang w:val="pt-BR"/>
        </w:rPr>
        <w:t xml:space="preserve">(3): INGEMM, IdiPAZ, UAM, Hosp. </w:t>
      </w:r>
      <w:r w:rsidRPr="00906F36">
        <w:rPr>
          <w:rFonts w:ascii="Arial" w:hAnsi="Arial" w:cs="Arial"/>
          <w:sz w:val="22"/>
          <w:szCs w:val="22"/>
        </w:rPr>
        <w:t>Univ. La Paz &amp; Centro de Investigación Biomédica en Enfermedades Raras (CIBERER, U753), Instituto Carlos III, Madrid, SPAIN</w:t>
      </w:r>
    </w:p>
    <w:p w:rsidR="00D57BBE" w:rsidRPr="00CB386E" w:rsidRDefault="00D57BBE" w:rsidP="00D57BBE">
      <w:pPr>
        <w:jc w:val="both"/>
        <w:rPr>
          <w:rFonts w:ascii="Arial" w:hAnsi="Arial" w:cs="Arial"/>
          <w:color w:val="0000FF"/>
          <w:sz w:val="22"/>
          <w:szCs w:val="22"/>
          <w:u w:val="single"/>
          <w:lang w:val="en-GB"/>
        </w:rPr>
      </w:pPr>
      <w:r w:rsidRPr="00906F36">
        <w:rPr>
          <w:rFonts w:ascii="Arial" w:hAnsi="Arial" w:cs="Arial"/>
          <w:b/>
          <w:i/>
          <w:sz w:val="22"/>
          <w:szCs w:val="22"/>
          <w:lang w:val="en-GB"/>
        </w:rPr>
        <w:t>Contact:</w:t>
      </w:r>
      <w:r w:rsidRPr="00906F36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5" w:history="1">
        <w:r w:rsidRPr="00CB386E">
          <w:rPr>
            <w:rStyle w:val="Lienhypertexte"/>
            <w:rFonts w:ascii="Arial" w:hAnsi="Arial" w:cs="Arial"/>
            <w:sz w:val="22"/>
            <w:szCs w:val="22"/>
            <w:lang w:val="en-GB"/>
          </w:rPr>
          <w:t>alrosado@terra.es</w:t>
        </w:r>
      </w:hyperlink>
      <w:r w:rsidRPr="00CB386E">
        <w:rPr>
          <w:rFonts w:ascii="Arial" w:hAnsi="Arial" w:cs="Arial"/>
          <w:color w:val="0000FF"/>
          <w:sz w:val="22"/>
          <w:szCs w:val="22"/>
          <w:lang w:val="en-GB"/>
        </w:rPr>
        <w:t xml:space="preserve">; </w:t>
      </w:r>
      <w:hyperlink r:id="rId6" w:history="1">
        <w:r w:rsidRPr="00CB386E">
          <w:rPr>
            <w:rStyle w:val="Lienhypertexte"/>
            <w:rFonts w:ascii="Arial" w:hAnsi="Arial" w:cs="Arial"/>
            <w:sz w:val="22"/>
            <w:szCs w:val="22"/>
            <w:lang w:val="en-GB"/>
          </w:rPr>
          <w:t>acamposb.hulp@salud.madrid.org</w:t>
        </w:r>
      </w:hyperlink>
    </w:p>
    <w:p w:rsidR="00D57BBE" w:rsidRDefault="00D57BBE" w:rsidP="00D57BBE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D57BBE" w:rsidRPr="0085511C" w:rsidRDefault="00D57BBE" w:rsidP="00D57B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5511C">
        <w:rPr>
          <w:rFonts w:ascii="Arial" w:hAnsi="Arial" w:cs="Arial"/>
          <w:i/>
          <w:sz w:val="22"/>
          <w:szCs w:val="22"/>
          <w:lang w:val="en-GB"/>
        </w:rPr>
        <w:t>Introduction</w:t>
      </w:r>
      <w:r w:rsidRPr="0085511C">
        <w:rPr>
          <w:rFonts w:ascii="Arial" w:hAnsi="Arial" w:cs="Arial"/>
          <w:sz w:val="22"/>
          <w:szCs w:val="22"/>
          <w:lang w:val="en-GB"/>
        </w:rPr>
        <w:t>: CCHS is an autosomal dominant disorder caused in &gt;90% of patients by heterozygous in frame duplications of the second polyAla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85511C">
        <w:rPr>
          <w:rFonts w:ascii="Arial" w:hAnsi="Arial" w:cs="Arial"/>
          <w:sz w:val="22"/>
          <w:szCs w:val="22"/>
          <w:lang w:val="en-GB"/>
        </w:rPr>
        <w:t>rich repeat (PARM, Poly-Alanine Repeat-Mutations)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located in exon 3 of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PHOX2B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. Missense, nonsense and frameshift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PHOX2B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mutations (NPARM, Non-Poly-Alanine-Repeat-Mutations) explain most of the remaining cases. There is a genotype/phenotype correlation between the length of the PARMs and ventilatory aid dependence as well as between the mutation type and the severity of the phenotype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5511C">
        <w:rPr>
          <w:rFonts w:ascii="Arial" w:hAnsi="Arial" w:cs="Arial"/>
          <w:sz w:val="22"/>
          <w:szCs w:val="22"/>
          <w:lang w:val="en-GB"/>
        </w:rPr>
        <w:t>(NPARMs</w:t>
      </w:r>
      <w:r>
        <w:rPr>
          <w:rFonts w:ascii="Arial" w:hAnsi="Arial" w:cs="Arial"/>
          <w:sz w:val="22"/>
          <w:szCs w:val="22"/>
          <w:lang w:val="en-GB"/>
        </w:rPr>
        <w:t>&gt;</w:t>
      </w:r>
      <w:r w:rsidRPr="0085511C">
        <w:rPr>
          <w:rFonts w:ascii="Arial" w:hAnsi="Arial" w:cs="Arial"/>
          <w:sz w:val="22"/>
          <w:szCs w:val="22"/>
          <w:lang w:val="en-GB"/>
        </w:rPr>
        <w:t>PARMs)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Hence, the molecular analysis of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PHOX2B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is essential to confirm the clinical diagnosis of CCHS and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Pr="0085511C">
        <w:rPr>
          <w:rFonts w:ascii="Arial" w:hAnsi="Arial" w:cs="Arial"/>
          <w:sz w:val="22"/>
          <w:szCs w:val="22"/>
          <w:lang w:val="en-GB"/>
        </w:rPr>
        <w:t>anticipat</w:t>
      </w:r>
      <w:r>
        <w:rPr>
          <w:rFonts w:ascii="Arial" w:hAnsi="Arial" w:cs="Arial"/>
          <w:sz w:val="22"/>
          <w:szCs w:val="22"/>
          <w:lang w:val="en-GB"/>
        </w:rPr>
        <w:t>e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the severity of CCHS phenotype.</w:t>
      </w:r>
    </w:p>
    <w:p w:rsidR="00D57BBE" w:rsidRPr="0085511C" w:rsidRDefault="00D57BBE" w:rsidP="00D57B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5511C">
        <w:rPr>
          <w:rFonts w:ascii="Arial" w:hAnsi="Arial" w:cs="Arial"/>
          <w:i/>
          <w:sz w:val="22"/>
          <w:szCs w:val="22"/>
          <w:lang w:val="en-GB"/>
        </w:rPr>
        <w:t xml:space="preserve">Aim: </w:t>
      </w:r>
      <w:r w:rsidRPr="0085511C">
        <w:rPr>
          <w:rFonts w:ascii="Arial" w:hAnsi="Arial" w:cs="Arial"/>
          <w:sz w:val="22"/>
          <w:szCs w:val="22"/>
          <w:lang w:val="en-GB"/>
        </w:rPr>
        <w:t>To establish a reference laboratory for the genetic diagnosis of CCHS in Spain by: 1) Organizing a central registry of patients with a clinical diagnosis of CCHS; 2) Collecti</w:t>
      </w:r>
      <w:r>
        <w:rPr>
          <w:rFonts w:ascii="Arial" w:hAnsi="Arial" w:cs="Arial"/>
          <w:sz w:val="22"/>
          <w:szCs w:val="22"/>
          <w:lang w:val="en-GB"/>
        </w:rPr>
        <w:t>on of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DNA samples from CCHS affected/suspected patients and relatives, after obtaining informed consent. 3) Implementing highly sensitive molecular diagnostic protocols for the mutation screening of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PHOX2B</w:t>
      </w:r>
      <w:r>
        <w:rPr>
          <w:rFonts w:ascii="Arial" w:hAnsi="Arial" w:cs="Arial"/>
          <w:i/>
          <w:sz w:val="22"/>
          <w:szCs w:val="22"/>
          <w:lang w:val="en-GB"/>
        </w:rPr>
        <w:t>,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based on High Resolution Melting analysis (HRM) and DNA sequencing.   </w:t>
      </w:r>
    </w:p>
    <w:p w:rsidR="00D57BBE" w:rsidRPr="0085511C" w:rsidRDefault="00D57BBE" w:rsidP="00D57B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5511C">
        <w:rPr>
          <w:rFonts w:ascii="Arial" w:hAnsi="Arial" w:cs="Arial"/>
          <w:i/>
          <w:sz w:val="22"/>
          <w:szCs w:val="22"/>
          <w:lang w:val="en-GB"/>
        </w:rPr>
        <w:t xml:space="preserve">Subjects: 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A total of 3</w:t>
      </w:r>
      <w:r>
        <w:rPr>
          <w:rFonts w:ascii="Arial" w:hAnsi="Arial" w:cs="Arial"/>
          <w:sz w:val="22"/>
          <w:szCs w:val="22"/>
          <w:lang w:val="en-GB"/>
        </w:rPr>
        <w:t>5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patients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recru</w:t>
      </w:r>
      <w:r>
        <w:rPr>
          <w:rFonts w:ascii="Arial" w:hAnsi="Arial" w:cs="Arial"/>
          <w:sz w:val="22"/>
          <w:szCs w:val="22"/>
          <w:lang w:val="en-GB"/>
        </w:rPr>
        <w:t>i</w:t>
      </w:r>
      <w:r w:rsidRPr="0085511C">
        <w:rPr>
          <w:rFonts w:ascii="Arial" w:hAnsi="Arial" w:cs="Arial"/>
          <w:sz w:val="22"/>
          <w:szCs w:val="22"/>
          <w:lang w:val="en-GB"/>
        </w:rPr>
        <w:t>ted from 16 different Spanish Hospitals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and 41 patient relatives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have been collected and analysed</w:t>
      </w:r>
      <w:r>
        <w:rPr>
          <w:rFonts w:ascii="Arial" w:hAnsi="Arial" w:cs="Arial"/>
          <w:sz w:val="22"/>
          <w:szCs w:val="22"/>
          <w:lang w:val="en-GB"/>
        </w:rPr>
        <w:t xml:space="preserve"> to date</w:t>
      </w:r>
      <w:r w:rsidRPr="0085511C">
        <w:rPr>
          <w:rFonts w:ascii="Arial" w:hAnsi="Arial" w:cs="Arial"/>
          <w:sz w:val="22"/>
          <w:szCs w:val="22"/>
          <w:lang w:val="en-GB"/>
        </w:rPr>
        <w:t>. 21 had a clinical diagnosis of CCHS</w:t>
      </w:r>
      <w:r>
        <w:rPr>
          <w:rFonts w:ascii="Arial" w:hAnsi="Arial" w:cs="Arial"/>
          <w:sz w:val="22"/>
          <w:szCs w:val="22"/>
          <w:lang w:val="en-GB"/>
        </w:rPr>
        <w:t xml:space="preserve"> and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14 were suspected CCHS</w:t>
      </w:r>
      <w:r>
        <w:rPr>
          <w:rFonts w:ascii="Arial" w:hAnsi="Arial" w:cs="Arial"/>
          <w:sz w:val="22"/>
          <w:szCs w:val="22"/>
          <w:lang w:val="en-GB"/>
        </w:rPr>
        <w:t xml:space="preserve"> newborns.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D57BBE" w:rsidRPr="0085511C" w:rsidRDefault="00D57BBE" w:rsidP="00D57B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5511C">
        <w:rPr>
          <w:rFonts w:ascii="Arial" w:hAnsi="Arial" w:cs="Arial"/>
          <w:i/>
          <w:sz w:val="22"/>
          <w:szCs w:val="22"/>
          <w:lang w:val="en-GB"/>
        </w:rPr>
        <w:t>Methods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: DNA was extracted from blood lymphocytes. The coding sequences, intron/exon boundaries and known regulatory regions of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PHOX2B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were amplified by PCR and screened for mutations by the combination of HRM </w:t>
      </w:r>
      <w:r>
        <w:rPr>
          <w:rFonts w:ascii="Arial" w:hAnsi="Arial" w:cs="Arial"/>
          <w:sz w:val="22"/>
          <w:szCs w:val="22"/>
          <w:lang w:val="en-GB"/>
        </w:rPr>
        <w:t>(</w:t>
      </w:r>
      <w:r w:rsidRPr="0085511C">
        <w:rPr>
          <w:rFonts w:ascii="Arial" w:hAnsi="Arial" w:cs="Arial"/>
          <w:sz w:val="22"/>
          <w:szCs w:val="22"/>
          <w:lang w:val="en-GB"/>
        </w:rPr>
        <w:t>LightScanner HR 96</w:t>
      </w:r>
      <w:r>
        <w:rPr>
          <w:rFonts w:ascii="Arial" w:hAnsi="Arial" w:cs="Arial"/>
          <w:sz w:val="22"/>
          <w:szCs w:val="22"/>
          <w:lang w:val="en-GB"/>
        </w:rPr>
        <w:t xml:space="preserve">) 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and DNA sequencing of all detected variants. </w:t>
      </w:r>
    </w:p>
    <w:p w:rsidR="00D57BBE" w:rsidRPr="0085511C" w:rsidRDefault="00D57BBE" w:rsidP="00D57B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5511C">
        <w:rPr>
          <w:rFonts w:ascii="Arial" w:hAnsi="Arial" w:cs="Arial"/>
          <w:i/>
          <w:sz w:val="22"/>
          <w:szCs w:val="22"/>
          <w:lang w:val="en-GB"/>
        </w:rPr>
        <w:t xml:space="preserve">Results: 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HRM detected a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PHOX2B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mutation in 24/3</w:t>
      </w:r>
      <w:r>
        <w:rPr>
          <w:rFonts w:ascii="Arial" w:hAnsi="Arial" w:cs="Arial"/>
          <w:sz w:val="22"/>
          <w:szCs w:val="22"/>
          <w:lang w:val="en-GB"/>
        </w:rPr>
        <w:t>5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patients (18/21 with a clinical </w:t>
      </w:r>
      <w:r>
        <w:rPr>
          <w:rFonts w:ascii="Arial" w:hAnsi="Arial" w:cs="Arial"/>
          <w:sz w:val="22"/>
          <w:szCs w:val="22"/>
          <w:lang w:val="en-GB"/>
        </w:rPr>
        <w:t xml:space="preserve">CCHS 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diagnosis 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nd 6/14 </w:t>
      </w:r>
      <w:r>
        <w:rPr>
          <w:rFonts w:ascii="Arial" w:hAnsi="Arial" w:cs="Arial"/>
          <w:sz w:val="22"/>
          <w:szCs w:val="22"/>
          <w:lang w:val="en-GB"/>
        </w:rPr>
        <w:t xml:space="preserve">were suspected CCHS </w:t>
      </w:r>
      <w:r w:rsidRPr="0085511C">
        <w:rPr>
          <w:rFonts w:ascii="Arial" w:hAnsi="Arial" w:cs="Arial"/>
          <w:sz w:val="22"/>
          <w:szCs w:val="22"/>
          <w:lang w:val="en-GB"/>
        </w:rPr>
        <w:t>newborns). 21/24 (87.5%) were PARM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(20/27, n=8; 20/26, n=7; 20/25, n=3; 20/33, n=3) and 3/24 (12.5%) NPARM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: p.R141Q, c.618dup, and c.691_698del. One of the three patients with the 20/33 PARM required continuous ventilatory support </w:t>
      </w:r>
      <w:r>
        <w:rPr>
          <w:rFonts w:ascii="Arial" w:hAnsi="Arial" w:cs="Arial"/>
          <w:sz w:val="22"/>
          <w:szCs w:val="22"/>
          <w:lang w:val="en-GB"/>
        </w:rPr>
        <w:t>until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the age of 7 years; </w:t>
      </w:r>
      <w:r>
        <w:rPr>
          <w:rFonts w:ascii="Arial" w:hAnsi="Arial" w:cs="Arial"/>
          <w:sz w:val="22"/>
          <w:szCs w:val="22"/>
          <w:lang w:val="en-GB"/>
        </w:rPr>
        <w:t>two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of the 7 patients with 20/27 PARM required a cardiac pacemaker implantation; five patients presented with Hirschprung disease (2 with PARM 20/33; 1 with 20/27, and 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with NPARM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). None of the identified mutations </w:t>
      </w:r>
      <w:r>
        <w:rPr>
          <w:rFonts w:ascii="Arial" w:hAnsi="Arial" w:cs="Arial"/>
          <w:sz w:val="22"/>
          <w:szCs w:val="22"/>
          <w:lang w:val="en-GB"/>
        </w:rPr>
        <w:t>was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detected in the unaffected </w:t>
      </w:r>
      <w:r>
        <w:rPr>
          <w:rFonts w:ascii="Arial" w:hAnsi="Arial" w:cs="Arial"/>
          <w:sz w:val="22"/>
          <w:szCs w:val="22"/>
          <w:lang w:val="en-GB"/>
        </w:rPr>
        <w:t xml:space="preserve">tested 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relatives. The estimated sensitivity of the HRM assay for the detection of both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</w:t>
      </w:r>
      <w:r>
        <w:rPr>
          <w:rFonts w:ascii="Arial" w:hAnsi="Arial" w:cs="Arial"/>
          <w:i/>
          <w:sz w:val="22"/>
          <w:szCs w:val="22"/>
          <w:lang w:val="en-GB"/>
        </w:rPr>
        <w:t>2</w:t>
      </w:r>
      <w:r w:rsidRPr="0085511C">
        <w:rPr>
          <w:rFonts w:ascii="Arial" w:hAnsi="Arial" w:cs="Arial"/>
          <w:i/>
          <w:sz w:val="22"/>
          <w:szCs w:val="22"/>
          <w:lang w:val="en-GB"/>
        </w:rPr>
        <w:t>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PARMs and NPARMs was &gt;99% with a specificity </w:t>
      </w:r>
      <w:r>
        <w:rPr>
          <w:rFonts w:ascii="Arial" w:hAnsi="Arial" w:cs="Arial"/>
          <w:sz w:val="22"/>
          <w:szCs w:val="22"/>
          <w:lang w:val="en-GB"/>
        </w:rPr>
        <w:t>of &gt;98</w:t>
      </w:r>
      <w:r w:rsidRPr="0085511C">
        <w:rPr>
          <w:rFonts w:ascii="Arial" w:hAnsi="Arial" w:cs="Arial"/>
          <w:sz w:val="22"/>
          <w:szCs w:val="22"/>
          <w:lang w:val="en-GB"/>
        </w:rPr>
        <w:t>%.</w:t>
      </w:r>
    </w:p>
    <w:p w:rsidR="00D57BBE" w:rsidRPr="0085511C" w:rsidRDefault="00D57BBE" w:rsidP="00D57BBE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5511C">
        <w:rPr>
          <w:rFonts w:ascii="Arial" w:hAnsi="Arial" w:cs="Arial"/>
          <w:i/>
          <w:sz w:val="22"/>
          <w:szCs w:val="22"/>
          <w:lang w:val="en-GB"/>
        </w:rPr>
        <w:t xml:space="preserve">Conclusions: 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1) We have established a reference laboratory for the genetic diagnosis of CCHS in Spain; 2) HRM is a quick, highly sensitive screening technique for the detection of </w:t>
      </w:r>
      <w:r w:rsidRPr="0085511C">
        <w:rPr>
          <w:rFonts w:ascii="Arial" w:hAnsi="Arial" w:cs="Arial"/>
          <w:i/>
          <w:sz w:val="22"/>
          <w:szCs w:val="22"/>
          <w:lang w:val="en-GB"/>
        </w:rPr>
        <w:t>PHOX2B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mutations in the diagnosis of CCHS.</w:t>
      </w:r>
      <w:r w:rsidRPr="0085511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85511C">
        <w:rPr>
          <w:rFonts w:ascii="Arial" w:hAnsi="Arial" w:cs="Arial"/>
          <w:sz w:val="22"/>
          <w:szCs w:val="22"/>
          <w:lang w:val="en-GB"/>
        </w:rPr>
        <w:t>3)</w:t>
      </w:r>
      <w:r w:rsidRPr="0085511C">
        <w:rPr>
          <w:rFonts w:ascii="Arial" w:hAnsi="Arial" w:cs="Arial"/>
          <w:i/>
          <w:sz w:val="22"/>
          <w:szCs w:val="22"/>
          <w:lang w:val="en-GB"/>
        </w:rPr>
        <w:t xml:space="preserve"> PHOX2B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mutation spectrum in Spanish CCHS patients is similar to that previously described </w:t>
      </w:r>
      <w:r>
        <w:rPr>
          <w:rFonts w:ascii="Arial" w:hAnsi="Arial" w:cs="Arial"/>
          <w:sz w:val="22"/>
          <w:szCs w:val="22"/>
          <w:lang w:val="en-GB"/>
        </w:rPr>
        <w:t xml:space="preserve">in </w:t>
      </w:r>
      <w:r w:rsidRPr="0085511C">
        <w:rPr>
          <w:rFonts w:ascii="Arial" w:hAnsi="Arial" w:cs="Arial"/>
          <w:sz w:val="22"/>
          <w:szCs w:val="22"/>
          <w:lang w:val="en-GB"/>
        </w:rPr>
        <w:t>other countries</w:t>
      </w:r>
      <w:r>
        <w:rPr>
          <w:rFonts w:ascii="Arial" w:hAnsi="Arial" w:cs="Arial"/>
          <w:sz w:val="22"/>
          <w:szCs w:val="22"/>
          <w:lang w:val="en-GB"/>
        </w:rPr>
        <w:t>;</w:t>
      </w:r>
      <w:r w:rsidRPr="0085511C">
        <w:rPr>
          <w:rFonts w:ascii="Arial" w:hAnsi="Arial" w:cs="Arial"/>
          <w:sz w:val="22"/>
          <w:szCs w:val="22"/>
          <w:lang w:val="en-GB"/>
        </w:rPr>
        <w:t xml:space="preserve"> 4) As previously reported, CCHS phenotype severity correlated with both the mutation type (NPARMs&gt;PARMs) and  the length of the PARMs.   </w:t>
      </w:r>
      <w:r w:rsidRPr="0085511C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D57BBE" w:rsidRPr="0027451C" w:rsidRDefault="00D57BBE" w:rsidP="00D57BB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277CE" w:rsidRPr="00D57BBE" w:rsidRDefault="00906F36" w:rsidP="00D57BBE"/>
    <w:sectPr w:rsidR="005277CE" w:rsidRPr="00D57BBE" w:rsidSect="005277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90F"/>
    <w:rsid w:val="0022325A"/>
    <w:rsid w:val="0036390F"/>
    <w:rsid w:val="003A04CE"/>
    <w:rsid w:val="004A75C9"/>
    <w:rsid w:val="00906F36"/>
    <w:rsid w:val="00D57BBE"/>
    <w:rsid w:val="00E27D62"/>
    <w:rsid w:val="00FE1E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5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D57BBE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rosado@terra.es" TargetMode="External"/><Relationship Id="rId6" Type="http://schemas.openxmlformats.org/officeDocument/2006/relationships/hyperlink" Target="mailto:acamposb.hulp@salud.madri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Macintosh Word</Application>
  <DocSecurity>0</DocSecurity>
  <Lines>24</Lines>
  <Paragraphs>5</Paragraphs>
  <ScaleCrop>false</ScaleCrop>
  <Company>Sté MEDIAXA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BIDART</dc:creator>
  <cp:keywords/>
  <cp:lastModifiedBy>Annie BIDART</cp:lastModifiedBy>
  <cp:revision>4</cp:revision>
  <dcterms:created xsi:type="dcterms:W3CDTF">2012-04-09T20:12:00Z</dcterms:created>
  <dcterms:modified xsi:type="dcterms:W3CDTF">2012-04-10T15:16:00Z</dcterms:modified>
</cp:coreProperties>
</file>