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94" w:rsidRPr="00CE573D" w:rsidRDefault="00192394" w:rsidP="00192394">
      <w:pPr>
        <w:spacing w:after="0"/>
        <w:rPr>
          <w:rFonts w:ascii="Arial" w:hAnsi="Arial"/>
          <w:sz w:val="22"/>
        </w:rPr>
      </w:pPr>
      <w:r w:rsidRPr="00CE573D">
        <w:rPr>
          <w:rFonts w:ascii="Arial" w:hAnsi="Arial"/>
          <w:sz w:val="22"/>
        </w:rPr>
        <w:t>CONGENITAL CENTRAL HYPOVENTILATION SYNDROME : A CLINICAL OVERVIEW OF 8 CHILDREN FOLLOWED BY AN ITALIAN PEDIATRIC PALLIATIVE CARE CENTER</w:t>
      </w:r>
    </w:p>
    <w:p w:rsidR="00B40E92" w:rsidRPr="006821A3" w:rsidRDefault="00B40E92" w:rsidP="00B40E92">
      <w:pPr>
        <w:pStyle w:val="Nessunaspaziatura"/>
        <w:rPr>
          <w:rFonts w:ascii="Arial" w:hAnsi="Arial" w:cs="Arial"/>
          <w:color w:val="0000FF"/>
        </w:rPr>
      </w:pPr>
      <w:r w:rsidRPr="006821A3">
        <w:rPr>
          <w:rFonts w:ascii="Arial" w:hAnsi="Arial" w:cs="Arial"/>
          <w:color w:val="0000FF"/>
        </w:rPr>
        <w:t>Po’ C(</w:t>
      </w:r>
      <w:hyperlink r:id="rId4" w:history="1">
        <w:r w:rsidRPr="006821A3">
          <w:rPr>
            <w:rStyle w:val="Lienhypertexte"/>
            <w:rFonts w:ascii="Arial" w:hAnsi="Arial" w:cs="Arial"/>
            <w:color w:val="0000FF"/>
          </w:rPr>
          <w:t>c_p0505@yahoo.it</w:t>
        </w:r>
      </w:hyperlink>
      <w:r w:rsidRPr="006821A3">
        <w:rPr>
          <w:rFonts w:ascii="Arial" w:hAnsi="Arial" w:cs="Arial"/>
          <w:color w:val="0000FF"/>
        </w:rPr>
        <w:t>),</w:t>
      </w:r>
      <w:r w:rsidRPr="006821A3">
        <w:rPr>
          <w:rFonts w:ascii="Arial" w:hAnsi="Arial" w:cs="Arial"/>
          <w:color w:val="0000FF"/>
          <w:u w:val="single"/>
        </w:rPr>
        <w:t>Farina M</w:t>
      </w:r>
      <w:r w:rsidRPr="006821A3">
        <w:rPr>
          <w:rFonts w:ascii="Arial" w:hAnsi="Arial" w:cs="Arial"/>
          <w:color w:val="0000FF"/>
        </w:rPr>
        <w:t>(</w:t>
      </w:r>
      <w:hyperlink r:id="rId5" w:history="1">
        <w:r w:rsidRPr="006821A3">
          <w:rPr>
            <w:rStyle w:val="Lienhypertexte"/>
            <w:rFonts w:ascii="Arial" w:hAnsi="Arial" w:cs="Arial"/>
            <w:color w:val="0000FF"/>
          </w:rPr>
          <w:t>mfarina@pediatria.unipd.it</w:t>
        </w:r>
      </w:hyperlink>
      <w:r w:rsidRPr="006821A3">
        <w:rPr>
          <w:rFonts w:ascii="Arial" w:hAnsi="Arial" w:cs="Arial"/>
          <w:color w:val="0000FF"/>
        </w:rPr>
        <w:t>),Agosto C(</w:t>
      </w:r>
      <w:hyperlink r:id="rId6" w:history="1">
        <w:r w:rsidRPr="006821A3">
          <w:rPr>
            <w:rStyle w:val="Lienhypertexte"/>
            <w:rFonts w:ascii="Arial" w:hAnsi="Arial" w:cs="Arial"/>
            <w:color w:val="0000FF"/>
          </w:rPr>
          <w:t>agosto@pediatria.unipd.it</w:t>
        </w:r>
      </w:hyperlink>
      <w:r w:rsidRPr="006821A3">
        <w:rPr>
          <w:rFonts w:ascii="Arial" w:hAnsi="Arial" w:cs="Arial"/>
          <w:color w:val="0000FF"/>
        </w:rPr>
        <w:t>),Catalano I(</w:t>
      </w:r>
      <w:hyperlink r:id="rId7" w:history="1">
        <w:r w:rsidRPr="006821A3">
          <w:rPr>
            <w:rStyle w:val="Lienhypertexte"/>
            <w:rFonts w:ascii="Arial" w:hAnsi="Arial" w:cs="Arial"/>
            <w:color w:val="0000FF"/>
          </w:rPr>
          <w:t>doctoraigor@hotmail.com</w:t>
        </w:r>
      </w:hyperlink>
      <w:r w:rsidRPr="006821A3">
        <w:rPr>
          <w:rFonts w:ascii="Arial" w:hAnsi="Arial" w:cs="Arial"/>
          <w:color w:val="0000FF"/>
        </w:rPr>
        <w:t>), Benini F</w:t>
      </w:r>
      <w:r w:rsidRPr="006821A3">
        <w:rPr>
          <w:rFonts w:ascii="Arial" w:hAnsi="Arial" w:cs="Arial"/>
          <w:color w:val="0000FF"/>
          <w:vertAlign w:val="superscript"/>
        </w:rPr>
        <w:t xml:space="preserve"> </w:t>
      </w:r>
      <w:r w:rsidRPr="006821A3">
        <w:rPr>
          <w:rFonts w:ascii="Arial" w:hAnsi="Arial" w:cs="Arial"/>
          <w:color w:val="0000FF"/>
        </w:rPr>
        <w:t>(</w:t>
      </w:r>
      <w:hyperlink r:id="rId8" w:history="1">
        <w:r w:rsidRPr="006821A3">
          <w:rPr>
            <w:rStyle w:val="Lienhypertexte"/>
            <w:rFonts w:ascii="Arial" w:hAnsi="Arial" w:cs="Arial"/>
            <w:color w:val="0000FF"/>
          </w:rPr>
          <w:t>benini@pediatria.unipd.it</w:t>
        </w:r>
      </w:hyperlink>
      <w:r w:rsidRPr="006821A3">
        <w:rPr>
          <w:rFonts w:ascii="Arial" w:hAnsi="Arial" w:cs="Arial"/>
          <w:color w:val="0000FF"/>
        </w:rPr>
        <w:t>)</w:t>
      </w:r>
    </w:p>
    <w:p w:rsidR="00B40E92" w:rsidRPr="006821A3" w:rsidRDefault="00B40E92" w:rsidP="00B40E92">
      <w:pPr>
        <w:pStyle w:val="Nessunaspaziatura"/>
        <w:jc w:val="both"/>
        <w:rPr>
          <w:rFonts w:ascii="Arial" w:hAnsi="Arial" w:cs="Arial"/>
          <w:color w:val="0000FF"/>
          <w:lang w:val="en-US"/>
        </w:rPr>
      </w:pPr>
      <w:r w:rsidRPr="006821A3">
        <w:rPr>
          <w:rFonts w:ascii="Arial" w:hAnsi="Arial" w:cs="Arial"/>
          <w:color w:val="0000FF"/>
          <w:lang w:val="en-US"/>
        </w:rPr>
        <w:t>Pediatric Palliative Care Service, Department of Pediatrics, University of Padua, Italy</w:t>
      </w:r>
    </w:p>
    <w:p w:rsidR="00192394" w:rsidRDefault="00192394" w:rsidP="00192394">
      <w:pPr>
        <w:spacing w:after="0"/>
        <w:rPr>
          <w:rFonts w:ascii="Arial" w:hAnsi="Arial"/>
        </w:rPr>
      </w:pPr>
    </w:p>
    <w:p w:rsidR="00192394" w:rsidRPr="00507175" w:rsidRDefault="00192394" w:rsidP="00192394">
      <w:pPr>
        <w:pStyle w:val="Nessunaspaziatura"/>
        <w:jc w:val="both"/>
        <w:rPr>
          <w:rFonts w:ascii="Arial" w:hAnsi="Arial" w:cs="Arial"/>
          <w:sz w:val="20"/>
          <w:lang w:val="en-US"/>
        </w:rPr>
      </w:pPr>
      <w:r w:rsidRPr="00507175">
        <w:rPr>
          <w:rFonts w:ascii="Arial" w:hAnsi="Arial" w:cs="Arial"/>
          <w:b/>
          <w:sz w:val="20"/>
          <w:lang w:val="en-US"/>
        </w:rPr>
        <w:t xml:space="preserve">Background. </w:t>
      </w:r>
      <w:r w:rsidRPr="00507175">
        <w:rPr>
          <w:rFonts w:ascii="Arial" w:hAnsi="Arial" w:cs="Arial"/>
          <w:sz w:val="20"/>
          <w:lang w:val="en-US"/>
        </w:rPr>
        <w:t xml:space="preserve">Congenital central hypoventilation syndrome (CCHS) is a genetic disorder usually presenting with reduced physiological response to elevated CO2, loss of respiratory drive, rapidly progressing hypoxiemia and hypercarbia. Therefore patients have a lifelong dependence on mechanical ventilation. Disease associated conditions concern anatomical and functional abnormalities of the autonomic nervous system. </w:t>
      </w:r>
    </w:p>
    <w:p w:rsidR="00C7016E" w:rsidRPr="00507175" w:rsidRDefault="00C7016E" w:rsidP="00192394">
      <w:pPr>
        <w:spacing w:after="0"/>
        <w:rPr>
          <w:rFonts w:ascii="Arial" w:hAnsi="Arial"/>
          <w:sz w:val="20"/>
        </w:rPr>
      </w:pPr>
    </w:p>
    <w:p w:rsidR="00C7016E" w:rsidRPr="00507175" w:rsidRDefault="00C7016E" w:rsidP="00C7016E">
      <w:pPr>
        <w:pStyle w:val="Nessunaspaziatura"/>
        <w:jc w:val="both"/>
        <w:rPr>
          <w:rFonts w:ascii="Arial" w:hAnsi="Arial" w:cs="Arial"/>
          <w:sz w:val="20"/>
          <w:lang w:val="en-US"/>
        </w:rPr>
      </w:pPr>
      <w:r w:rsidRPr="00507175">
        <w:rPr>
          <w:rFonts w:ascii="Arial" w:hAnsi="Arial" w:cs="Arial"/>
          <w:b/>
          <w:sz w:val="20"/>
          <w:lang w:val="en-US"/>
        </w:rPr>
        <w:t xml:space="preserve">Methods. </w:t>
      </w:r>
      <w:r w:rsidRPr="00507175">
        <w:rPr>
          <w:rFonts w:ascii="Arial" w:hAnsi="Arial" w:cs="Arial"/>
          <w:sz w:val="20"/>
          <w:lang w:val="en-US"/>
        </w:rPr>
        <w:t xml:space="preserve">Pediatric Palliative Care (PPC) Center of Padua University has followed children with CCHS since 2003, providing continuous care. We retrospectively reviewed charts and medical records to obtain an overview of relevant clinical problems in children with CCHS during follow-up. </w:t>
      </w:r>
    </w:p>
    <w:p w:rsidR="00C7016E" w:rsidRPr="00507175" w:rsidRDefault="00C7016E" w:rsidP="00C7016E">
      <w:pPr>
        <w:pStyle w:val="Nessunaspaziatura"/>
        <w:jc w:val="both"/>
        <w:rPr>
          <w:rFonts w:ascii="Arial" w:hAnsi="Arial" w:cs="Arial"/>
          <w:b/>
          <w:sz w:val="20"/>
          <w:lang w:val="en-US"/>
        </w:rPr>
      </w:pPr>
    </w:p>
    <w:p w:rsidR="00C7016E" w:rsidRPr="00507175" w:rsidRDefault="00C7016E" w:rsidP="00C7016E">
      <w:pPr>
        <w:pStyle w:val="Nessunaspaziatura"/>
        <w:jc w:val="both"/>
        <w:rPr>
          <w:rFonts w:ascii="Arial" w:hAnsi="Arial" w:cs="Arial"/>
          <w:sz w:val="20"/>
          <w:lang w:val="en-US"/>
        </w:rPr>
      </w:pPr>
      <w:r w:rsidRPr="00507175">
        <w:rPr>
          <w:rFonts w:ascii="Arial" w:hAnsi="Arial" w:cs="Arial"/>
          <w:b/>
          <w:sz w:val="20"/>
          <w:lang w:val="en-US"/>
        </w:rPr>
        <w:t xml:space="preserve">Results. </w:t>
      </w:r>
      <w:r w:rsidRPr="00507175">
        <w:rPr>
          <w:rFonts w:ascii="Arial" w:hAnsi="Arial" w:cs="Arial"/>
          <w:sz w:val="20"/>
          <w:lang w:val="en-US"/>
        </w:rPr>
        <w:t>Data concerned 8 patients (4m/4f), mean age 6.4 years old. All of them have genetic confirmation of disease. All patients underwent tracheostomy in the first months of life and use mechanical ventilation during sleeping and during respiratory infections; LTBS was performed annually; no child required re-intervention during the follow-up. Tracheostomy tube had been changed monthly at home by families. Hospital admissions due to ventilatory management difficulties were limited.</w:t>
      </w:r>
    </w:p>
    <w:p w:rsidR="00C7016E" w:rsidRPr="00507175" w:rsidRDefault="00C7016E" w:rsidP="00C7016E">
      <w:pPr>
        <w:pStyle w:val="Nessunaspaziatura"/>
        <w:jc w:val="both"/>
        <w:rPr>
          <w:rFonts w:ascii="Arial" w:hAnsi="Arial" w:cs="Arial"/>
          <w:sz w:val="20"/>
          <w:lang w:val="en-US"/>
        </w:rPr>
      </w:pPr>
      <w:r w:rsidRPr="00507175">
        <w:rPr>
          <w:rFonts w:ascii="Arial" w:hAnsi="Arial" w:cs="Arial"/>
          <w:sz w:val="20"/>
          <w:lang w:val="en-US"/>
        </w:rPr>
        <w:t xml:space="preserve">All patients presented associated disorders (see table). No one had diagnosed neural crest tumor during the follow-up. All children were annually submitted to a complete neurological evaluation: 6 patients showed a moderate to severe psychomotor retardation, particularly for the aspect of language production. At neurological imaging (MRI) 1 patient showed rostral brain nonspecific injuries. </w:t>
      </w:r>
    </w:p>
    <w:p w:rsidR="00A4281D" w:rsidRDefault="00A4281D" w:rsidP="00192394">
      <w:pPr>
        <w:spacing w:after="0"/>
        <w:rPr>
          <w:rFonts w:ascii="Arial" w:hAnsi="Arial"/>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649"/>
        <w:gridCol w:w="627"/>
        <w:gridCol w:w="1134"/>
        <w:gridCol w:w="1701"/>
        <w:gridCol w:w="1276"/>
        <w:gridCol w:w="1396"/>
        <w:gridCol w:w="1618"/>
        <w:gridCol w:w="1203"/>
      </w:tblGrid>
      <w:tr w:rsidR="00A4281D" w:rsidRPr="00EA001F">
        <w:tc>
          <w:tcPr>
            <w:tcW w:w="250" w:type="dxa"/>
            <w:vAlign w:val="center"/>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N</w:t>
            </w:r>
          </w:p>
        </w:tc>
        <w:tc>
          <w:tcPr>
            <w:tcW w:w="649" w:type="dxa"/>
            <w:vAlign w:val="center"/>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Sex</w:t>
            </w:r>
          </w:p>
        </w:tc>
        <w:tc>
          <w:tcPr>
            <w:tcW w:w="627" w:type="dxa"/>
            <w:vAlign w:val="center"/>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Age</w:t>
            </w:r>
          </w:p>
        </w:tc>
        <w:tc>
          <w:tcPr>
            <w:tcW w:w="1134" w:type="dxa"/>
            <w:vAlign w:val="center"/>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Genetic mutation</w:t>
            </w:r>
          </w:p>
        </w:tc>
        <w:tc>
          <w:tcPr>
            <w:tcW w:w="1701" w:type="dxa"/>
            <w:vAlign w:val="center"/>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Tracheostomy (age)</w:t>
            </w:r>
          </w:p>
        </w:tc>
        <w:tc>
          <w:tcPr>
            <w:tcW w:w="1276" w:type="dxa"/>
            <w:vAlign w:val="center"/>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Cardiac</w:t>
            </w:r>
          </w:p>
        </w:tc>
        <w:tc>
          <w:tcPr>
            <w:tcW w:w="1396" w:type="dxa"/>
            <w:vAlign w:val="center"/>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Neurological</w:t>
            </w:r>
          </w:p>
        </w:tc>
        <w:tc>
          <w:tcPr>
            <w:tcW w:w="1618" w:type="dxa"/>
            <w:vAlign w:val="center"/>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Oculistic</w:t>
            </w:r>
          </w:p>
        </w:tc>
        <w:tc>
          <w:tcPr>
            <w:tcW w:w="1203" w:type="dxa"/>
            <w:vAlign w:val="center"/>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Other</w:t>
            </w:r>
          </w:p>
        </w:tc>
      </w:tr>
      <w:tr w:rsidR="00A4281D" w:rsidRPr="00EA001F">
        <w:tc>
          <w:tcPr>
            <w:tcW w:w="250"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1</w:t>
            </w:r>
          </w:p>
        </w:tc>
        <w:tc>
          <w:tcPr>
            <w:tcW w:w="649"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m</w:t>
            </w:r>
          </w:p>
        </w:tc>
        <w:tc>
          <w:tcPr>
            <w:tcW w:w="627"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7.2</w:t>
            </w:r>
          </w:p>
        </w:tc>
        <w:tc>
          <w:tcPr>
            <w:tcW w:w="1134"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20/27+sm</w:t>
            </w:r>
          </w:p>
        </w:tc>
        <w:tc>
          <w:tcPr>
            <w:tcW w:w="1701"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3 mths</w:t>
            </w:r>
          </w:p>
        </w:tc>
        <w:tc>
          <w:tcPr>
            <w:tcW w:w="127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No</w:t>
            </w:r>
          </w:p>
        </w:tc>
        <w:tc>
          <w:tcPr>
            <w:tcW w:w="139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Seizures</w:t>
            </w:r>
          </w:p>
        </w:tc>
        <w:tc>
          <w:tcPr>
            <w:tcW w:w="1618"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Strabismus, visual defect</w:t>
            </w:r>
          </w:p>
        </w:tc>
        <w:tc>
          <w:tcPr>
            <w:tcW w:w="1203"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 xml:space="preserve">Emotional spasm, diabetes insipidus, abdominal pain </w:t>
            </w:r>
          </w:p>
        </w:tc>
      </w:tr>
      <w:tr w:rsidR="00A4281D" w:rsidRPr="00EA001F">
        <w:tc>
          <w:tcPr>
            <w:tcW w:w="250"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2</w:t>
            </w:r>
          </w:p>
        </w:tc>
        <w:tc>
          <w:tcPr>
            <w:tcW w:w="649"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m</w:t>
            </w:r>
          </w:p>
        </w:tc>
        <w:tc>
          <w:tcPr>
            <w:tcW w:w="627"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4.4</w:t>
            </w:r>
          </w:p>
        </w:tc>
        <w:tc>
          <w:tcPr>
            <w:tcW w:w="1134"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20/26</w:t>
            </w:r>
          </w:p>
        </w:tc>
        <w:tc>
          <w:tcPr>
            <w:tcW w:w="1701"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36 days</w:t>
            </w:r>
          </w:p>
        </w:tc>
        <w:tc>
          <w:tcPr>
            <w:tcW w:w="127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No</w:t>
            </w:r>
          </w:p>
        </w:tc>
        <w:tc>
          <w:tcPr>
            <w:tcW w:w="139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Seizures (related to hypoglycemia)</w:t>
            </w:r>
          </w:p>
        </w:tc>
        <w:tc>
          <w:tcPr>
            <w:tcW w:w="1618"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Pupillary asymmetry, visual defect</w:t>
            </w:r>
          </w:p>
        </w:tc>
        <w:tc>
          <w:tcPr>
            <w:tcW w:w="1203"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Profuse sweating, hypoglycemia episodes</w:t>
            </w:r>
          </w:p>
        </w:tc>
      </w:tr>
      <w:tr w:rsidR="00A4281D" w:rsidRPr="00EA001F">
        <w:tc>
          <w:tcPr>
            <w:tcW w:w="250"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3</w:t>
            </w:r>
          </w:p>
        </w:tc>
        <w:tc>
          <w:tcPr>
            <w:tcW w:w="649"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f</w:t>
            </w:r>
          </w:p>
        </w:tc>
        <w:tc>
          <w:tcPr>
            <w:tcW w:w="627"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7.3</w:t>
            </w:r>
          </w:p>
        </w:tc>
        <w:tc>
          <w:tcPr>
            <w:tcW w:w="1134"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20/32</w:t>
            </w:r>
          </w:p>
        </w:tc>
        <w:tc>
          <w:tcPr>
            <w:tcW w:w="1701"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2 mths</w:t>
            </w:r>
          </w:p>
        </w:tc>
        <w:tc>
          <w:tcPr>
            <w:tcW w:w="127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Cardiac asystole, pacemaker positioned</w:t>
            </w:r>
          </w:p>
        </w:tc>
        <w:tc>
          <w:tcPr>
            <w:tcW w:w="139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Headhache</w:t>
            </w:r>
          </w:p>
        </w:tc>
        <w:tc>
          <w:tcPr>
            <w:tcW w:w="1618"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Pupillary asymmetry</w:t>
            </w:r>
          </w:p>
        </w:tc>
        <w:tc>
          <w:tcPr>
            <w:tcW w:w="1203"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 xml:space="preserve">Neonatal hypoglycemia, abdominal pain,diarrhea, profuse sweating </w:t>
            </w:r>
          </w:p>
        </w:tc>
      </w:tr>
      <w:tr w:rsidR="00A4281D" w:rsidRPr="00EA001F">
        <w:tc>
          <w:tcPr>
            <w:tcW w:w="250"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4</w:t>
            </w:r>
          </w:p>
        </w:tc>
        <w:tc>
          <w:tcPr>
            <w:tcW w:w="649"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f</w:t>
            </w:r>
          </w:p>
        </w:tc>
        <w:tc>
          <w:tcPr>
            <w:tcW w:w="627"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7.0</w:t>
            </w:r>
          </w:p>
        </w:tc>
        <w:tc>
          <w:tcPr>
            <w:tcW w:w="1134"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20/29</w:t>
            </w:r>
          </w:p>
        </w:tc>
        <w:tc>
          <w:tcPr>
            <w:tcW w:w="1701"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4 mths</w:t>
            </w:r>
          </w:p>
        </w:tc>
        <w:tc>
          <w:tcPr>
            <w:tcW w:w="127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No</w:t>
            </w:r>
          </w:p>
        </w:tc>
        <w:tc>
          <w:tcPr>
            <w:tcW w:w="139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Enuresis,</w:t>
            </w:r>
          </w:p>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suspected absence epilepsy</w:t>
            </w:r>
          </w:p>
        </w:tc>
        <w:tc>
          <w:tcPr>
            <w:tcW w:w="1618"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Pupillary asymmetry</w:t>
            </w:r>
          </w:p>
        </w:tc>
        <w:tc>
          <w:tcPr>
            <w:tcW w:w="1203"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Constipation</w:t>
            </w:r>
          </w:p>
        </w:tc>
      </w:tr>
      <w:tr w:rsidR="00A4281D" w:rsidRPr="00EA001F">
        <w:tc>
          <w:tcPr>
            <w:tcW w:w="250"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5</w:t>
            </w:r>
          </w:p>
        </w:tc>
        <w:tc>
          <w:tcPr>
            <w:tcW w:w="649"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m</w:t>
            </w:r>
          </w:p>
        </w:tc>
        <w:tc>
          <w:tcPr>
            <w:tcW w:w="627"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8.4</w:t>
            </w:r>
          </w:p>
        </w:tc>
        <w:tc>
          <w:tcPr>
            <w:tcW w:w="1134"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nd</w:t>
            </w:r>
          </w:p>
        </w:tc>
        <w:tc>
          <w:tcPr>
            <w:tcW w:w="1701"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2 mths</w:t>
            </w:r>
          </w:p>
        </w:tc>
        <w:tc>
          <w:tcPr>
            <w:tcW w:w="127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No</w:t>
            </w:r>
          </w:p>
        </w:tc>
        <w:tc>
          <w:tcPr>
            <w:tcW w:w="139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Seizures with and without hypoglicemia</w:t>
            </w:r>
          </w:p>
        </w:tc>
        <w:tc>
          <w:tcPr>
            <w:tcW w:w="1618"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No</w:t>
            </w:r>
          </w:p>
        </w:tc>
        <w:tc>
          <w:tcPr>
            <w:tcW w:w="1203"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Hypoglicemia episodes</w:t>
            </w:r>
          </w:p>
        </w:tc>
      </w:tr>
      <w:tr w:rsidR="00A4281D" w:rsidRPr="00EA001F">
        <w:tc>
          <w:tcPr>
            <w:tcW w:w="250"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6</w:t>
            </w:r>
          </w:p>
        </w:tc>
        <w:tc>
          <w:tcPr>
            <w:tcW w:w="649"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f</w:t>
            </w:r>
          </w:p>
        </w:tc>
        <w:tc>
          <w:tcPr>
            <w:tcW w:w="627"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11</w:t>
            </w:r>
          </w:p>
        </w:tc>
        <w:tc>
          <w:tcPr>
            <w:tcW w:w="1134"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nd</w:t>
            </w:r>
          </w:p>
        </w:tc>
        <w:tc>
          <w:tcPr>
            <w:tcW w:w="1701"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nd</w:t>
            </w:r>
          </w:p>
        </w:tc>
        <w:tc>
          <w:tcPr>
            <w:tcW w:w="127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cardiac asystoles, PM positioned</w:t>
            </w:r>
          </w:p>
        </w:tc>
        <w:tc>
          <w:tcPr>
            <w:tcW w:w="1396"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Seizures</w:t>
            </w:r>
          </w:p>
        </w:tc>
        <w:tc>
          <w:tcPr>
            <w:tcW w:w="1618"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Strabismus</w:t>
            </w:r>
          </w:p>
        </w:tc>
        <w:tc>
          <w:tcPr>
            <w:tcW w:w="1203" w:type="dxa"/>
          </w:tcPr>
          <w:p w:rsidR="00A4281D" w:rsidRPr="00EA001F" w:rsidRDefault="00A4281D" w:rsidP="0042104C">
            <w:pPr>
              <w:pStyle w:val="Nessunaspaziatura"/>
              <w:jc w:val="center"/>
              <w:rPr>
                <w:rFonts w:ascii="Arial" w:hAnsi="Arial" w:cs="Arial"/>
                <w:sz w:val="18"/>
                <w:szCs w:val="18"/>
                <w:lang w:val="en-US"/>
              </w:rPr>
            </w:pPr>
            <w:r w:rsidRPr="00EA001F">
              <w:rPr>
                <w:rFonts w:ascii="Arial" w:hAnsi="Arial" w:cs="Arial"/>
                <w:sz w:val="18"/>
                <w:szCs w:val="18"/>
                <w:lang w:val="en-US"/>
              </w:rPr>
              <w:t>Hyperbilirubinemia</w:t>
            </w:r>
          </w:p>
        </w:tc>
      </w:tr>
      <w:tr w:rsidR="00521A0C" w:rsidRPr="00EA001F">
        <w:tc>
          <w:tcPr>
            <w:tcW w:w="250"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6</w:t>
            </w:r>
          </w:p>
        </w:tc>
        <w:tc>
          <w:tcPr>
            <w:tcW w:w="649"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f</w:t>
            </w:r>
          </w:p>
        </w:tc>
        <w:tc>
          <w:tcPr>
            <w:tcW w:w="627"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11</w:t>
            </w:r>
          </w:p>
        </w:tc>
        <w:tc>
          <w:tcPr>
            <w:tcW w:w="1134"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nd</w:t>
            </w:r>
          </w:p>
        </w:tc>
        <w:tc>
          <w:tcPr>
            <w:tcW w:w="1701"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nd</w:t>
            </w:r>
          </w:p>
        </w:tc>
        <w:tc>
          <w:tcPr>
            <w:tcW w:w="1276"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cardiac asystoles, PM positioned</w:t>
            </w:r>
          </w:p>
        </w:tc>
        <w:tc>
          <w:tcPr>
            <w:tcW w:w="1396"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Seizures</w:t>
            </w:r>
          </w:p>
        </w:tc>
        <w:tc>
          <w:tcPr>
            <w:tcW w:w="1618"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Strabismus</w:t>
            </w:r>
          </w:p>
        </w:tc>
        <w:tc>
          <w:tcPr>
            <w:tcW w:w="1203"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Hyperbilirubinemia</w:t>
            </w:r>
          </w:p>
        </w:tc>
      </w:tr>
      <w:tr w:rsidR="00521A0C" w:rsidRPr="00EA001F">
        <w:tc>
          <w:tcPr>
            <w:tcW w:w="250"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7</w:t>
            </w:r>
          </w:p>
        </w:tc>
        <w:tc>
          <w:tcPr>
            <w:tcW w:w="649"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f</w:t>
            </w:r>
          </w:p>
        </w:tc>
        <w:tc>
          <w:tcPr>
            <w:tcW w:w="627"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2.6</w:t>
            </w:r>
          </w:p>
        </w:tc>
        <w:tc>
          <w:tcPr>
            <w:tcW w:w="1134"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20/26</w:t>
            </w:r>
          </w:p>
        </w:tc>
        <w:tc>
          <w:tcPr>
            <w:tcW w:w="1701"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1 mths</w:t>
            </w:r>
          </w:p>
        </w:tc>
        <w:tc>
          <w:tcPr>
            <w:tcW w:w="1276"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No</w:t>
            </w:r>
          </w:p>
        </w:tc>
        <w:tc>
          <w:tcPr>
            <w:tcW w:w="1396"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No</w:t>
            </w:r>
          </w:p>
        </w:tc>
        <w:tc>
          <w:tcPr>
            <w:tcW w:w="1618"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No</w:t>
            </w:r>
          </w:p>
        </w:tc>
        <w:tc>
          <w:tcPr>
            <w:tcW w:w="1203"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Profuse sweating</w:t>
            </w:r>
          </w:p>
        </w:tc>
      </w:tr>
      <w:tr w:rsidR="00521A0C" w:rsidRPr="00EA001F">
        <w:tc>
          <w:tcPr>
            <w:tcW w:w="250"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8</w:t>
            </w:r>
          </w:p>
        </w:tc>
        <w:tc>
          <w:tcPr>
            <w:tcW w:w="649"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m</w:t>
            </w:r>
          </w:p>
        </w:tc>
        <w:tc>
          <w:tcPr>
            <w:tcW w:w="627"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p>
        </w:tc>
        <w:tc>
          <w:tcPr>
            <w:tcW w:w="1134"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20/27</w:t>
            </w:r>
          </w:p>
        </w:tc>
        <w:tc>
          <w:tcPr>
            <w:tcW w:w="1701"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40 days</w:t>
            </w:r>
          </w:p>
        </w:tc>
        <w:tc>
          <w:tcPr>
            <w:tcW w:w="1276"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Long pauses at Holter</w:t>
            </w:r>
          </w:p>
        </w:tc>
        <w:tc>
          <w:tcPr>
            <w:tcW w:w="1396"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No</w:t>
            </w:r>
          </w:p>
        </w:tc>
        <w:tc>
          <w:tcPr>
            <w:tcW w:w="1618"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Pupillary asymmetry, reduced papillary light response</w:t>
            </w:r>
          </w:p>
        </w:tc>
        <w:tc>
          <w:tcPr>
            <w:tcW w:w="1203" w:type="dxa"/>
            <w:tcBorders>
              <w:top w:val="single" w:sz="4" w:space="0" w:color="000000"/>
              <w:left w:val="single" w:sz="4" w:space="0" w:color="000000"/>
              <w:bottom w:val="single" w:sz="4" w:space="0" w:color="000000"/>
              <w:right w:val="single" w:sz="4" w:space="0" w:color="000000"/>
            </w:tcBorders>
          </w:tcPr>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Hirschsprung disease,</w:t>
            </w:r>
          </w:p>
          <w:p w:rsidR="00521A0C" w:rsidRPr="00EA001F" w:rsidRDefault="00521A0C" w:rsidP="0042104C">
            <w:pPr>
              <w:pStyle w:val="Nessunaspaziatura"/>
              <w:jc w:val="center"/>
              <w:rPr>
                <w:rFonts w:ascii="Arial" w:hAnsi="Arial" w:cs="Arial"/>
                <w:sz w:val="18"/>
                <w:szCs w:val="18"/>
                <w:lang w:val="en-US"/>
              </w:rPr>
            </w:pPr>
            <w:r w:rsidRPr="00EA001F">
              <w:rPr>
                <w:rFonts w:ascii="Arial" w:hAnsi="Arial" w:cs="Arial"/>
                <w:sz w:val="18"/>
                <w:szCs w:val="18"/>
                <w:lang w:val="en-US"/>
              </w:rPr>
              <w:t>profuse sweating, emotional spasms</w:t>
            </w:r>
          </w:p>
        </w:tc>
      </w:tr>
    </w:tbl>
    <w:p w:rsidR="007E28BC" w:rsidRDefault="007E28BC" w:rsidP="00C750B9">
      <w:pPr>
        <w:pStyle w:val="Nessunaspaziatura"/>
        <w:jc w:val="both"/>
        <w:rPr>
          <w:rFonts w:ascii="Arial" w:hAnsi="Arial" w:cs="Arial"/>
          <w:b/>
          <w:lang w:val="en-US"/>
        </w:rPr>
      </w:pPr>
    </w:p>
    <w:p w:rsidR="00C750B9" w:rsidRPr="00115315" w:rsidRDefault="00C750B9" w:rsidP="00C750B9">
      <w:pPr>
        <w:pStyle w:val="Nessunaspaziatura"/>
        <w:jc w:val="both"/>
        <w:rPr>
          <w:rFonts w:ascii="Arial" w:hAnsi="Arial" w:cs="Arial"/>
          <w:sz w:val="20"/>
          <w:lang w:val="en-US"/>
        </w:rPr>
      </w:pPr>
      <w:r w:rsidRPr="00115315">
        <w:rPr>
          <w:rFonts w:ascii="Arial" w:hAnsi="Arial" w:cs="Arial"/>
          <w:b/>
          <w:sz w:val="20"/>
          <w:lang w:val="en-US"/>
        </w:rPr>
        <w:t xml:space="preserve">Conclusions. </w:t>
      </w:r>
      <w:r w:rsidRPr="00115315">
        <w:rPr>
          <w:rFonts w:ascii="Arial" w:hAnsi="Arial" w:cs="Arial"/>
          <w:sz w:val="20"/>
          <w:lang w:val="en-US"/>
        </w:rPr>
        <w:t xml:space="preserve">The immediate concern for children with CCHS is the loss of respiratory drive, which imposes the prompt introduction and continuation of ventilation support. Furthermore they need a multidisciplinary complex management. In our experience most relevant aspects in the follow up have been: cardiac rhythm abnormalities detection; seizure diagnosis and treatment; endocrine-metabolic abnormalities; gastroenterological anatomical and functional problems management. Oculistic abnormalities and psychomotor retardation should also be considered because they can severely affect daily life. </w:t>
      </w:r>
    </w:p>
    <w:p w:rsidR="005277CE" w:rsidRPr="00192394" w:rsidRDefault="00EB7579" w:rsidP="00192394">
      <w:pPr>
        <w:spacing w:after="0"/>
        <w:rPr>
          <w:rFonts w:ascii="Arial" w:hAnsi="Arial"/>
        </w:rPr>
      </w:pPr>
    </w:p>
    <w:sectPr w:rsidR="005277CE" w:rsidRPr="00192394"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0603C"/>
    <w:rsid w:val="00115315"/>
    <w:rsid w:val="00192394"/>
    <w:rsid w:val="001B0D24"/>
    <w:rsid w:val="00507175"/>
    <w:rsid w:val="00521A0C"/>
    <w:rsid w:val="00540CF3"/>
    <w:rsid w:val="006F38C5"/>
    <w:rsid w:val="007E28BC"/>
    <w:rsid w:val="0080603C"/>
    <w:rsid w:val="00A4281D"/>
    <w:rsid w:val="00B40E92"/>
    <w:rsid w:val="00C7016E"/>
    <w:rsid w:val="00C750B9"/>
    <w:rsid w:val="00CE573D"/>
    <w:rsid w:val="00EB7579"/>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CE"/>
    <w:rPr>
      <w:sz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Nessunaspaziatura">
    <w:name w:val="Nessuna spaziatura"/>
    <w:qFormat/>
    <w:rsid w:val="00192394"/>
    <w:pPr>
      <w:spacing w:after="0"/>
    </w:pPr>
    <w:rPr>
      <w:rFonts w:ascii="Calibri" w:eastAsia="Calibri" w:hAnsi="Calibri" w:cs="Times New Roman"/>
      <w:sz w:val="22"/>
      <w:szCs w:val="22"/>
      <w:lang w:val="it-IT"/>
    </w:rPr>
  </w:style>
  <w:style w:type="character" w:styleId="Lienhypertexte">
    <w:name w:val="Hyperlink"/>
    <w:rsid w:val="00B40E92"/>
    <w:rPr>
      <w:color w:val="333333"/>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_p0505@yahoo.it" TargetMode="External"/><Relationship Id="rId5" Type="http://schemas.openxmlformats.org/officeDocument/2006/relationships/hyperlink" Target="mailto:mfarina@pediatria.unipd.it" TargetMode="External"/><Relationship Id="rId6" Type="http://schemas.openxmlformats.org/officeDocument/2006/relationships/hyperlink" Target="mailto:agosto@pediatria.unipd.it" TargetMode="External"/><Relationship Id="rId7" Type="http://schemas.openxmlformats.org/officeDocument/2006/relationships/hyperlink" Target="mailto:doctoraigor@hotmail.com" TargetMode="External"/><Relationship Id="rId8" Type="http://schemas.openxmlformats.org/officeDocument/2006/relationships/hyperlink" Target="mailto:benini@pediatria.unipd.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3187</Characters>
  <Application>Microsoft Macintosh Word</Application>
  <DocSecurity>0</DocSecurity>
  <Lines>26</Lines>
  <Paragraphs>6</Paragraphs>
  <ScaleCrop>false</ScaleCrop>
  <Company>Sté MEDIAXA</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12</cp:revision>
  <dcterms:created xsi:type="dcterms:W3CDTF">2012-04-09T21:15:00Z</dcterms:created>
  <dcterms:modified xsi:type="dcterms:W3CDTF">2012-04-09T21:26:00Z</dcterms:modified>
</cp:coreProperties>
</file>