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D8" w:rsidRPr="000A2B74" w:rsidRDefault="00814DD8" w:rsidP="00814DD8">
      <w:pPr>
        <w:pStyle w:val="Nessunaspaziatura"/>
        <w:jc w:val="both"/>
        <w:rPr>
          <w:rFonts w:ascii="Arial" w:hAnsi="Arial" w:cs="Arial"/>
          <w:b/>
          <w:caps/>
          <w:lang w:val="en-US"/>
        </w:rPr>
      </w:pPr>
      <w:r w:rsidRPr="000A2B74">
        <w:rPr>
          <w:rFonts w:ascii="Arial" w:hAnsi="Arial" w:cs="Arial"/>
          <w:b/>
          <w:caps/>
          <w:lang w:val="en-US"/>
        </w:rPr>
        <w:t>Central Congenital Hypoventilation Syndrome and paroxysmal events: not only epilepsy</w:t>
      </w:r>
    </w:p>
    <w:p w:rsidR="00814DD8" w:rsidRPr="007B34A3" w:rsidRDefault="00814DD8" w:rsidP="00814DD8">
      <w:pPr>
        <w:pStyle w:val="Nessunaspaziatura"/>
        <w:rPr>
          <w:rFonts w:ascii="Arial" w:hAnsi="Arial" w:cs="Arial"/>
          <w:bCs/>
        </w:rPr>
      </w:pPr>
      <w:r w:rsidRPr="007B34A3">
        <w:rPr>
          <w:rFonts w:ascii="Arial" w:hAnsi="Arial" w:cs="Arial"/>
          <w:bCs/>
        </w:rPr>
        <w:t>Po’ C</w:t>
      </w:r>
      <w:r w:rsidRPr="007B34A3">
        <w:rPr>
          <w:rFonts w:ascii="Arial" w:hAnsi="Arial" w:cs="Arial"/>
          <w:bCs/>
          <w:vertAlign w:val="superscript"/>
        </w:rPr>
        <w:t>1</w:t>
      </w:r>
      <w:r w:rsidRPr="007B34A3">
        <w:rPr>
          <w:rFonts w:ascii="Arial" w:hAnsi="Arial" w:cs="Arial"/>
          <w:bCs/>
        </w:rPr>
        <w:t>(</w:t>
      </w:r>
      <w:hyperlink r:id="rId5" w:history="1">
        <w:r w:rsidRPr="007B34A3">
          <w:rPr>
            <w:rStyle w:val="Lienhypertexte"/>
            <w:rFonts w:ascii="Arial" w:hAnsi="Arial" w:cs="Arial"/>
            <w:bCs/>
            <w:color w:val="auto"/>
          </w:rPr>
          <w:t>c_p0505@yahoo.it</w:t>
        </w:r>
      </w:hyperlink>
      <w:r w:rsidRPr="007B34A3">
        <w:rPr>
          <w:rFonts w:ascii="Arial" w:hAnsi="Arial" w:cs="Arial"/>
          <w:bCs/>
        </w:rPr>
        <w:t>),</w:t>
      </w:r>
      <w:r w:rsidRPr="007B34A3">
        <w:rPr>
          <w:rFonts w:ascii="Arial" w:hAnsi="Arial" w:cs="Arial"/>
          <w:bCs/>
          <w:u w:val="single"/>
        </w:rPr>
        <w:t>Farina M</w:t>
      </w:r>
      <w:r w:rsidRPr="007B34A3">
        <w:rPr>
          <w:rFonts w:ascii="Arial" w:hAnsi="Arial" w:cs="Arial"/>
          <w:bCs/>
          <w:u w:val="single"/>
          <w:vertAlign w:val="superscript"/>
        </w:rPr>
        <w:t>1</w:t>
      </w:r>
      <w:r w:rsidRPr="007B34A3">
        <w:rPr>
          <w:rFonts w:ascii="Arial" w:hAnsi="Arial" w:cs="Arial"/>
          <w:bCs/>
        </w:rPr>
        <w:t>(</w:t>
      </w:r>
      <w:hyperlink r:id="rId6" w:history="1">
        <w:r w:rsidRPr="007B34A3">
          <w:rPr>
            <w:rStyle w:val="Lienhypertexte"/>
            <w:rFonts w:ascii="Arial" w:hAnsi="Arial" w:cs="Arial"/>
            <w:bCs/>
            <w:color w:val="auto"/>
          </w:rPr>
          <w:t>mfarina@pediatria.unipd.it</w:t>
        </w:r>
      </w:hyperlink>
      <w:r w:rsidRPr="007B34A3">
        <w:rPr>
          <w:rFonts w:ascii="Arial" w:hAnsi="Arial" w:cs="Arial"/>
          <w:bCs/>
        </w:rPr>
        <w:t>),Agosto C</w:t>
      </w:r>
      <w:r w:rsidRPr="007B34A3">
        <w:rPr>
          <w:rFonts w:ascii="Arial" w:hAnsi="Arial" w:cs="Arial"/>
          <w:bCs/>
          <w:vertAlign w:val="superscript"/>
        </w:rPr>
        <w:t>1</w:t>
      </w:r>
      <w:r w:rsidRPr="007B34A3">
        <w:rPr>
          <w:rFonts w:ascii="Arial" w:hAnsi="Arial" w:cs="Arial"/>
          <w:bCs/>
        </w:rPr>
        <w:t>(</w:t>
      </w:r>
      <w:hyperlink r:id="rId7" w:history="1">
        <w:r w:rsidRPr="007B34A3">
          <w:rPr>
            <w:rStyle w:val="Lienhypertexte"/>
            <w:rFonts w:ascii="Arial" w:hAnsi="Arial" w:cs="Arial"/>
            <w:bCs/>
            <w:color w:val="auto"/>
          </w:rPr>
          <w:t>agosto@pediatria.unipd.it</w:t>
        </w:r>
      </w:hyperlink>
      <w:r w:rsidRPr="007B34A3">
        <w:rPr>
          <w:rFonts w:ascii="Arial" w:hAnsi="Arial" w:cs="Arial"/>
          <w:bCs/>
        </w:rPr>
        <w:t>),Catalano I</w:t>
      </w:r>
      <w:r w:rsidRPr="007B34A3">
        <w:rPr>
          <w:rFonts w:ascii="Arial" w:hAnsi="Arial" w:cs="Arial"/>
          <w:bCs/>
          <w:vertAlign w:val="superscript"/>
        </w:rPr>
        <w:t>1</w:t>
      </w:r>
      <w:r w:rsidRPr="007B34A3">
        <w:rPr>
          <w:rFonts w:ascii="Arial" w:hAnsi="Arial" w:cs="Arial"/>
          <w:bCs/>
        </w:rPr>
        <w:t>(</w:t>
      </w:r>
      <w:hyperlink r:id="rId8" w:history="1">
        <w:r w:rsidRPr="007B34A3">
          <w:rPr>
            <w:rStyle w:val="Lienhypertexte"/>
            <w:rFonts w:ascii="Arial" w:hAnsi="Arial" w:cs="Arial"/>
            <w:bCs/>
            <w:color w:val="auto"/>
          </w:rPr>
          <w:t>doctoraigor@hotmail.com</w:t>
        </w:r>
      </w:hyperlink>
      <w:r w:rsidRPr="007B34A3">
        <w:rPr>
          <w:rFonts w:ascii="Arial" w:hAnsi="Arial" w:cs="Arial"/>
          <w:bCs/>
        </w:rPr>
        <w:t>),Sartori S</w:t>
      </w:r>
      <w:r w:rsidRPr="007B34A3">
        <w:rPr>
          <w:rFonts w:ascii="Arial" w:hAnsi="Arial" w:cs="Arial"/>
          <w:bCs/>
          <w:vertAlign w:val="superscript"/>
        </w:rPr>
        <w:t>2</w:t>
      </w:r>
      <w:r w:rsidRPr="007B34A3">
        <w:rPr>
          <w:rFonts w:ascii="Arial" w:hAnsi="Arial" w:cs="Arial"/>
          <w:bCs/>
        </w:rPr>
        <w:t>(</w:t>
      </w:r>
      <w:hyperlink r:id="rId9" w:history="1">
        <w:r w:rsidRPr="007B34A3">
          <w:rPr>
            <w:rStyle w:val="Lienhypertexte"/>
            <w:rFonts w:ascii="Arial" w:hAnsi="Arial" w:cs="Arial"/>
            <w:bCs/>
            <w:color w:val="auto"/>
          </w:rPr>
          <w:t>stefano.sartori@unipd.it</w:t>
        </w:r>
      </w:hyperlink>
      <w:r w:rsidRPr="007B34A3">
        <w:rPr>
          <w:rFonts w:ascii="Arial" w:hAnsi="Arial" w:cs="Arial"/>
          <w:bCs/>
        </w:rPr>
        <w:t>),Vecchi M</w:t>
      </w:r>
      <w:r w:rsidRPr="007B34A3">
        <w:rPr>
          <w:rFonts w:ascii="Arial" w:hAnsi="Arial" w:cs="Arial"/>
          <w:bCs/>
          <w:vertAlign w:val="superscript"/>
        </w:rPr>
        <w:t>2</w:t>
      </w:r>
      <w:r w:rsidRPr="007B34A3">
        <w:rPr>
          <w:rFonts w:ascii="Arial" w:hAnsi="Arial" w:cs="Arial"/>
          <w:bCs/>
        </w:rPr>
        <w:t>(</w:t>
      </w:r>
      <w:hyperlink r:id="rId10" w:history="1">
        <w:r w:rsidRPr="007B34A3">
          <w:rPr>
            <w:rStyle w:val="Lienhypertexte"/>
            <w:rFonts w:ascii="Arial" w:hAnsi="Arial" w:cs="Arial"/>
            <w:bCs/>
            <w:color w:val="auto"/>
          </w:rPr>
          <w:t>vecchi@pediatria.unipd.it</w:t>
        </w:r>
      </w:hyperlink>
      <w:r w:rsidRPr="007B34A3">
        <w:rPr>
          <w:rFonts w:ascii="Arial" w:hAnsi="Arial" w:cs="Arial"/>
          <w:bCs/>
        </w:rPr>
        <w:t>),Benini F</w:t>
      </w:r>
      <w:r w:rsidRPr="007B34A3">
        <w:rPr>
          <w:rFonts w:ascii="Arial" w:hAnsi="Arial" w:cs="Arial"/>
          <w:bCs/>
          <w:vertAlign w:val="superscript"/>
        </w:rPr>
        <w:t xml:space="preserve">1 </w:t>
      </w:r>
      <w:r w:rsidRPr="007B34A3">
        <w:rPr>
          <w:rFonts w:ascii="Arial" w:hAnsi="Arial" w:cs="Arial"/>
          <w:bCs/>
        </w:rPr>
        <w:t>(</w:t>
      </w:r>
      <w:hyperlink r:id="rId11" w:history="1">
        <w:r w:rsidRPr="007B34A3">
          <w:rPr>
            <w:rStyle w:val="Lienhypertexte"/>
            <w:rFonts w:ascii="Arial" w:hAnsi="Arial" w:cs="Arial"/>
            <w:bCs/>
            <w:color w:val="auto"/>
          </w:rPr>
          <w:t>benini@pediatria.unipd.it</w:t>
        </w:r>
      </w:hyperlink>
      <w:r w:rsidRPr="007B34A3">
        <w:rPr>
          <w:rFonts w:ascii="Arial" w:hAnsi="Arial" w:cs="Arial"/>
          <w:bCs/>
        </w:rPr>
        <w:t>)</w:t>
      </w:r>
    </w:p>
    <w:p w:rsidR="00814DD8" w:rsidRPr="007B34A3" w:rsidRDefault="00814DD8" w:rsidP="00814DD8">
      <w:pPr>
        <w:pStyle w:val="Nessunaspaziatura"/>
        <w:jc w:val="both"/>
        <w:rPr>
          <w:rFonts w:ascii="Arial" w:hAnsi="Arial" w:cs="Arial"/>
          <w:bCs/>
          <w:lang w:val="en-US"/>
        </w:rPr>
      </w:pPr>
      <w:r w:rsidRPr="007B34A3">
        <w:rPr>
          <w:rFonts w:ascii="Arial" w:hAnsi="Arial" w:cs="Arial"/>
          <w:bCs/>
          <w:vertAlign w:val="superscript"/>
          <w:lang w:val="en-US"/>
        </w:rPr>
        <w:t>1</w:t>
      </w:r>
      <w:r w:rsidRPr="007B34A3">
        <w:rPr>
          <w:rFonts w:ascii="Arial" w:hAnsi="Arial" w:cs="Arial"/>
          <w:bCs/>
          <w:lang w:val="en-US"/>
        </w:rPr>
        <w:t>Pediatric Palliative Care Service, Department of Pediatrics, University of Padua, Italy</w:t>
      </w:r>
    </w:p>
    <w:p w:rsidR="00814DD8" w:rsidRPr="007B34A3" w:rsidRDefault="00814DD8" w:rsidP="00814DD8">
      <w:pPr>
        <w:pStyle w:val="Nessunaspaziatura"/>
        <w:jc w:val="both"/>
        <w:rPr>
          <w:rFonts w:ascii="Arial" w:hAnsi="Arial" w:cs="Arial"/>
          <w:bCs/>
          <w:lang w:val="en-US"/>
        </w:rPr>
      </w:pPr>
      <w:r w:rsidRPr="007B34A3">
        <w:rPr>
          <w:rFonts w:ascii="Arial" w:hAnsi="Arial" w:cs="Arial"/>
          <w:bCs/>
          <w:vertAlign w:val="superscript"/>
          <w:lang w:val="en-US"/>
        </w:rPr>
        <w:t>2</w:t>
      </w:r>
      <w:r w:rsidRPr="007B34A3">
        <w:rPr>
          <w:rFonts w:ascii="Arial" w:hAnsi="Arial" w:cs="Arial"/>
          <w:bCs/>
          <w:lang w:val="en-US"/>
        </w:rPr>
        <w:t>Neurology Unit, Department of Pediatrics, University of Padua, Italy</w:t>
      </w:r>
    </w:p>
    <w:p w:rsidR="00814DD8" w:rsidRPr="00EA001F" w:rsidRDefault="00814DD8" w:rsidP="00814DD8">
      <w:pPr>
        <w:pStyle w:val="Nessunaspaziatura"/>
        <w:jc w:val="both"/>
        <w:rPr>
          <w:rFonts w:ascii="Arial" w:hAnsi="Arial" w:cs="Arial"/>
          <w:lang w:val="en-US"/>
        </w:rPr>
      </w:pPr>
    </w:p>
    <w:p w:rsidR="00814DD8" w:rsidRPr="00CB1DB3" w:rsidRDefault="00814DD8" w:rsidP="00814DD8">
      <w:pPr>
        <w:pStyle w:val="Nessunaspaziatura"/>
        <w:jc w:val="both"/>
        <w:rPr>
          <w:rFonts w:ascii="Arial" w:hAnsi="Arial" w:cs="Arial"/>
          <w:sz w:val="20"/>
          <w:lang w:val="en-US"/>
        </w:rPr>
      </w:pPr>
      <w:r w:rsidRPr="00CB1DB3">
        <w:rPr>
          <w:rFonts w:ascii="Arial" w:hAnsi="Arial" w:cs="Arial"/>
          <w:b/>
          <w:sz w:val="20"/>
          <w:lang w:val="en-US"/>
        </w:rPr>
        <w:t xml:space="preserve">Background. </w:t>
      </w:r>
      <w:r w:rsidRPr="00CB1DB3">
        <w:rPr>
          <w:rFonts w:ascii="Arial" w:hAnsi="Arial" w:cs="Arial"/>
          <w:sz w:val="20"/>
          <w:lang w:val="en-US"/>
        </w:rPr>
        <w:t xml:space="preserve">Central congenital hypoventilation syndrome (CCHS) is a genetic disease affecting respiratory control, with life-long dependence on mechanical ventilation. Affected patients can also present with autonomic nervous system anatomical and functional abnormalities. Seizures are described as a possible associated disorder in children with CCHS, likely because of hypoxemia episodes, but other paroxysmal events are often under diagnosed in these patients and confused with epileptic seizures. </w:t>
      </w:r>
    </w:p>
    <w:p w:rsidR="00814DD8" w:rsidRPr="00CB1DB3" w:rsidRDefault="00814DD8" w:rsidP="00814DD8">
      <w:pPr>
        <w:pStyle w:val="Nessunaspaziatura"/>
        <w:jc w:val="both"/>
        <w:rPr>
          <w:rFonts w:ascii="Arial" w:hAnsi="Arial" w:cs="Arial"/>
          <w:sz w:val="20"/>
          <w:lang w:val="en-US"/>
        </w:rPr>
      </w:pPr>
    </w:p>
    <w:p w:rsidR="00814DD8" w:rsidRPr="00CB1DB3" w:rsidRDefault="00814DD8" w:rsidP="00814DD8">
      <w:pPr>
        <w:pStyle w:val="Nessunaspaziatura"/>
        <w:jc w:val="both"/>
        <w:rPr>
          <w:rFonts w:ascii="Arial" w:hAnsi="Arial" w:cs="Arial"/>
          <w:sz w:val="20"/>
          <w:lang w:val="en-US"/>
        </w:rPr>
      </w:pPr>
      <w:r w:rsidRPr="00CB1DB3">
        <w:rPr>
          <w:rFonts w:ascii="Arial" w:hAnsi="Arial" w:cs="Arial"/>
          <w:b/>
          <w:sz w:val="20"/>
          <w:lang w:val="en-US"/>
        </w:rPr>
        <w:t xml:space="preserve">Methods. </w:t>
      </w:r>
      <w:r w:rsidRPr="00CB1DB3">
        <w:rPr>
          <w:rFonts w:ascii="Arial" w:hAnsi="Arial" w:cs="Arial"/>
          <w:sz w:val="20"/>
          <w:lang w:val="en-US"/>
        </w:rPr>
        <w:t>PPC Center of Padua University has followed children with CCHS since 2003 providing multidisciplinary and continuous care. We retrospectively reviewed charts and computed database about patients with CCHS who presented seizures or seizure-like episodes.</w:t>
      </w:r>
    </w:p>
    <w:p w:rsidR="00814DD8" w:rsidRPr="00CB1DB3" w:rsidRDefault="00814DD8" w:rsidP="00814DD8">
      <w:pPr>
        <w:pStyle w:val="Nessunaspaziatura"/>
        <w:jc w:val="both"/>
        <w:rPr>
          <w:rFonts w:ascii="Arial" w:hAnsi="Arial" w:cs="Arial"/>
          <w:sz w:val="20"/>
          <w:lang w:val="en-US"/>
        </w:rPr>
      </w:pPr>
    </w:p>
    <w:p w:rsidR="00814DD8" w:rsidRPr="00CB1DB3" w:rsidRDefault="00814DD8" w:rsidP="00814DD8">
      <w:pPr>
        <w:pStyle w:val="Nessunaspaziatura"/>
        <w:jc w:val="both"/>
        <w:rPr>
          <w:rFonts w:ascii="Arial" w:hAnsi="Arial" w:cs="Arial"/>
          <w:sz w:val="20"/>
          <w:lang w:val="en-US"/>
        </w:rPr>
      </w:pPr>
      <w:r w:rsidRPr="00CB1DB3">
        <w:rPr>
          <w:rFonts w:ascii="Arial" w:hAnsi="Arial" w:cs="Arial"/>
          <w:b/>
          <w:sz w:val="20"/>
          <w:lang w:val="en-US"/>
        </w:rPr>
        <w:t xml:space="preserve">Results. </w:t>
      </w:r>
      <w:r w:rsidRPr="00CB1DB3">
        <w:rPr>
          <w:rFonts w:ascii="Arial" w:hAnsi="Arial" w:cs="Arial"/>
          <w:sz w:val="20"/>
          <w:lang w:val="en-US"/>
        </w:rPr>
        <w:t>To date Center has followed 8 patients (4m/4f), mean age 6.4 years old. Seizures or seizure-like episodes concerned 6 children, with various presentation and diagnostic approach (see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509"/>
        <w:gridCol w:w="2471"/>
        <w:gridCol w:w="2456"/>
        <w:gridCol w:w="1745"/>
      </w:tblGrid>
      <w:tr w:rsidR="00814DD8" w:rsidRPr="00EA001F">
        <w:tc>
          <w:tcPr>
            <w:tcW w:w="1188"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Age and sex</w:t>
            </w:r>
          </w:p>
        </w:tc>
        <w:tc>
          <w:tcPr>
            <w:tcW w:w="162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Genetic mutation</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Paroxysmal events</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Investigations</w:t>
            </w:r>
          </w:p>
          <w:p w:rsidR="00814DD8" w:rsidRPr="00EA001F" w:rsidRDefault="00814DD8" w:rsidP="0042104C">
            <w:pPr>
              <w:pStyle w:val="Nessunaspaziatura"/>
              <w:rPr>
                <w:rFonts w:ascii="Arial" w:hAnsi="Arial" w:cs="Arial"/>
                <w:sz w:val="18"/>
                <w:szCs w:val="18"/>
                <w:lang w:val="en-US"/>
              </w:rPr>
            </w:pP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Treatment</w:t>
            </w:r>
          </w:p>
        </w:tc>
      </w:tr>
      <w:tr w:rsidR="00814DD8" w:rsidRPr="00EA001F">
        <w:tc>
          <w:tcPr>
            <w:tcW w:w="1188" w:type="dxa"/>
            <w:vMerge w:val="restart"/>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M, 7.2 years</w:t>
            </w:r>
          </w:p>
        </w:tc>
        <w:tc>
          <w:tcPr>
            <w:tcW w:w="1620" w:type="dxa"/>
            <w:vMerge w:val="restart"/>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20/27 +sm</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Breath-holding spells (at 2 yrs old)</w:t>
            </w:r>
          </w:p>
        </w:tc>
        <w:tc>
          <w:tcPr>
            <w:tcW w:w="2610" w:type="dxa"/>
          </w:tcPr>
          <w:p w:rsidR="00814DD8" w:rsidRPr="00EA001F" w:rsidRDefault="00814DD8" w:rsidP="0042104C">
            <w:pPr>
              <w:pStyle w:val="Nessunaspaziatura"/>
              <w:rPr>
                <w:rFonts w:ascii="Arial" w:hAnsi="Arial" w:cs="Arial"/>
                <w:sz w:val="18"/>
                <w:szCs w:val="18"/>
                <w:lang w:val="en-US"/>
              </w:rPr>
            </w:pP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Martial therapy</w:t>
            </w:r>
          </w:p>
        </w:tc>
      </w:tr>
      <w:tr w:rsidR="00814DD8" w:rsidRPr="00EA001F">
        <w:tc>
          <w:tcPr>
            <w:tcW w:w="1188" w:type="dxa"/>
            <w:vMerge/>
          </w:tcPr>
          <w:p w:rsidR="00814DD8" w:rsidRPr="00EA001F" w:rsidRDefault="00814DD8" w:rsidP="0042104C">
            <w:pPr>
              <w:pStyle w:val="Nessunaspaziatura"/>
              <w:rPr>
                <w:rFonts w:ascii="Arial" w:hAnsi="Arial" w:cs="Arial"/>
                <w:sz w:val="18"/>
                <w:szCs w:val="18"/>
                <w:lang w:val="en-US"/>
              </w:rPr>
            </w:pPr>
          </w:p>
        </w:tc>
        <w:tc>
          <w:tcPr>
            <w:tcW w:w="1620" w:type="dxa"/>
            <w:vMerge/>
          </w:tcPr>
          <w:p w:rsidR="00814DD8" w:rsidRPr="00EA001F" w:rsidRDefault="00814DD8" w:rsidP="0042104C">
            <w:pPr>
              <w:pStyle w:val="Nessunaspaziatura"/>
              <w:rPr>
                <w:rFonts w:ascii="Arial" w:hAnsi="Arial" w:cs="Arial"/>
                <w:sz w:val="18"/>
                <w:szCs w:val="18"/>
                <w:lang w:val="en-US"/>
              </w:rPr>
            </w:pP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Focal motor seizures with secondary generalization (3-4 yrs old)</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Intercritical EEG: negative. Critical EEG: alterations.</w:t>
            </w: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 xml:space="preserve">Valproic acid </w:t>
            </w:r>
          </w:p>
        </w:tc>
      </w:tr>
      <w:tr w:rsidR="00814DD8" w:rsidRPr="00EA001F">
        <w:tc>
          <w:tcPr>
            <w:tcW w:w="1188" w:type="dxa"/>
            <w:vMerge/>
          </w:tcPr>
          <w:p w:rsidR="00814DD8" w:rsidRPr="00EA001F" w:rsidRDefault="00814DD8" w:rsidP="0042104C">
            <w:pPr>
              <w:pStyle w:val="Nessunaspaziatura"/>
              <w:rPr>
                <w:rFonts w:ascii="Arial" w:hAnsi="Arial" w:cs="Arial"/>
                <w:sz w:val="18"/>
                <w:szCs w:val="18"/>
                <w:lang w:val="en-US"/>
              </w:rPr>
            </w:pPr>
          </w:p>
        </w:tc>
        <w:tc>
          <w:tcPr>
            <w:tcW w:w="1620" w:type="dxa"/>
            <w:vMerge/>
          </w:tcPr>
          <w:p w:rsidR="00814DD8" w:rsidRPr="00EA001F" w:rsidRDefault="00814DD8" w:rsidP="0042104C">
            <w:pPr>
              <w:pStyle w:val="Nessunaspaziatura"/>
              <w:rPr>
                <w:rFonts w:ascii="Arial" w:hAnsi="Arial" w:cs="Arial"/>
                <w:sz w:val="18"/>
                <w:szCs w:val="18"/>
                <w:lang w:val="en-US"/>
              </w:rPr>
            </w:pP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 xml:space="preserve">Absence seizures (from 4 yrs old to date) </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Intercritical EEG: alterations. Critical EEG: not available.</w:t>
            </w: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 xml:space="preserve">Vigabatrin </w:t>
            </w:r>
          </w:p>
        </w:tc>
      </w:tr>
      <w:tr w:rsidR="00814DD8" w:rsidRPr="00EA001F">
        <w:tc>
          <w:tcPr>
            <w:tcW w:w="1188"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M, 4.4 years</w:t>
            </w:r>
          </w:p>
        </w:tc>
        <w:tc>
          <w:tcPr>
            <w:tcW w:w="162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20/26</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Clonic movements, staring and breathing difficulties during sleep; hypotonia, unresponsiveness, sweating and cyanosis while awake (from 4 mths old)</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Intercritical EEG: negative.</w:t>
            </w:r>
          </w:p>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Critical EEG: alterations. Glycemic blood test: hypoglycemia during event.</w:t>
            </w: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Valproic acid: unsuccessful; diazoxide therapy successful also for seizures</w:t>
            </w:r>
          </w:p>
        </w:tc>
      </w:tr>
      <w:tr w:rsidR="00814DD8" w:rsidRPr="00EA001F">
        <w:tc>
          <w:tcPr>
            <w:tcW w:w="1188"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F, 7.3 years</w:t>
            </w:r>
          </w:p>
        </w:tc>
        <w:tc>
          <w:tcPr>
            <w:tcW w:w="162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20/32</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Sudden generalized hypotonia and unresponsiveness followed by sleeping for about 1 hour. Preceding severe sudden frontal headache (6-7 yrs old)</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EEG always negative.</w:t>
            </w:r>
          </w:p>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72h HolterECG negative.</w:t>
            </w:r>
          </w:p>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 xml:space="preserve">7daysHolterECG: long sinus pauses </w:t>
            </w: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Pacemaker positioning with resolution of episodes of syncope.</w:t>
            </w:r>
          </w:p>
        </w:tc>
      </w:tr>
      <w:tr w:rsidR="00814DD8" w:rsidRPr="00EA001F">
        <w:tc>
          <w:tcPr>
            <w:tcW w:w="1188"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M, 8.3 years</w:t>
            </w:r>
          </w:p>
        </w:tc>
        <w:tc>
          <w:tcPr>
            <w:tcW w:w="162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nd</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Convulsion (9 months).</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Intercritical EEG. Negative.</w:t>
            </w:r>
          </w:p>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 xml:space="preserve">Critical EEG not available; Glycemic blood test: hypoglycemia during events. </w:t>
            </w: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Octreotide to control glycemia values. Valproic acid for seizures control.</w:t>
            </w:r>
          </w:p>
        </w:tc>
      </w:tr>
      <w:tr w:rsidR="00814DD8" w:rsidRPr="00EA001F">
        <w:tc>
          <w:tcPr>
            <w:tcW w:w="1188"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F, 7 years</w:t>
            </w:r>
          </w:p>
        </w:tc>
        <w:tc>
          <w:tcPr>
            <w:tcW w:w="162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20/29</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Suspected absence seizures</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EEG negative</w:t>
            </w: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Follow-up</w:t>
            </w:r>
          </w:p>
        </w:tc>
      </w:tr>
      <w:tr w:rsidR="00814DD8" w:rsidRPr="00EA001F">
        <w:tc>
          <w:tcPr>
            <w:tcW w:w="1188"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F, 11 years</w:t>
            </w:r>
          </w:p>
        </w:tc>
        <w:tc>
          <w:tcPr>
            <w:tcW w:w="162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nd</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4 episodes of generalized rigidity, head turning, eye revulsion, followed by cry and agitation (8 yrs old)</w:t>
            </w:r>
          </w:p>
        </w:tc>
        <w:tc>
          <w:tcPr>
            <w:tcW w:w="2610"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EEG negative;</w:t>
            </w:r>
          </w:p>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Long sinus pauses at HolterECG</w:t>
            </w:r>
          </w:p>
          <w:p w:rsidR="00814DD8" w:rsidRPr="00EA001F" w:rsidRDefault="00814DD8" w:rsidP="0042104C">
            <w:pPr>
              <w:pStyle w:val="Nessunaspaziatura"/>
              <w:rPr>
                <w:rFonts w:ascii="Arial" w:hAnsi="Arial" w:cs="Arial"/>
                <w:sz w:val="18"/>
                <w:szCs w:val="18"/>
                <w:lang w:val="en-US"/>
              </w:rPr>
            </w:pPr>
          </w:p>
        </w:tc>
        <w:tc>
          <w:tcPr>
            <w:tcW w:w="1826" w:type="dxa"/>
          </w:tcPr>
          <w:p w:rsidR="00814DD8" w:rsidRPr="00EA001F" w:rsidRDefault="00814DD8" w:rsidP="0042104C">
            <w:pPr>
              <w:pStyle w:val="Nessunaspaziatura"/>
              <w:rPr>
                <w:rFonts w:ascii="Arial" w:hAnsi="Arial" w:cs="Arial"/>
                <w:sz w:val="18"/>
                <w:szCs w:val="18"/>
                <w:lang w:val="en-US"/>
              </w:rPr>
            </w:pPr>
            <w:r w:rsidRPr="00EA001F">
              <w:rPr>
                <w:rFonts w:ascii="Arial" w:hAnsi="Arial" w:cs="Arial"/>
                <w:sz w:val="18"/>
                <w:szCs w:val="18"/>
                <w:lang w:val="en-US"/>
              </w:rPr>
              <w:t>Pacemaker positioning with resolution of anoxic seizures</w:t>
            </w:r>
          </w:p>
        </w:tc>
      </w:tr>
    </w:tbl>
    <w:p w:rsidR="00814DD8" w:rsidRDefault="00814DD8" w:rsidP="00814DD8">
      <w:pPr>
        <w:pStyle w:val="Nessunaspaziatura"/>
        <w:jc w:val="both"/>
        <w:rPr>
          <w:b/>
          <w:lang w:val="en-US"/>
        </w:rPr>
      </w:pPr>
    </w:p>
    <w:p w:rsidR="00814DD8" w:rsidRDefault="00814DD8" w:rsidP="00814DD8">
      <w:pPr>
        <w:pStyle w:val="Nessunaspaziatura"/>
        <w:jc w:val="both"/>
        <w:rPr>
          <w:rFonts w:ascii="Arial" w:hAnsi="Arial" w:cs="Arial"/>
        </w:rPr>
      </w:pPr>
      <w:r w:rsidRPr="006821A3">
        <w:rPr>
          <w:rFonts w:ascii="Arial" w:hAnsi="Arial" w:cs="Arial"/>
          <w:b/>
          <w:lang w:val="en-US"/>
        </w:rPr>
        <w:t xml:space="preserve">Conclusions. </w:t>
      </w:r>
      <w:r w:rsidRPr="006821A3">
        <w:rPr>
          <w:rFonts w:ascii="Arial" w:hAnsi="Arial" w:cs="Arial"/>
        </w:rPr>
        <w:t xml:space="preserve">Children with CCHS can present epileptic seizures often due to episodes of unrecognized hypoxiemia or hypoglycemia, but it is important to stress that paroxysmal events other than epileptic seizures can occur, such as lipothymia, syncope due to cardiac rhythm abnormalities. In particular some patients can present with anoxic seizures after prolonged sinus pauses. </w:t>
      </w:r>
    </w:p>
    <w:p w:rsidR="005277CE" w:rsidRPr="00814DD8" w:rsidRDefault="00CA7248" w:rsidP="00814DD8"/>
    <w:sectPr w:rsidR="005277CE" w:rsidRPr="00814DD8" w:rsidSect="00CA7248">
      <w:pgSz w:w="11906" w:h="16838"/>
      <w:pgMar w:top="1417" w:right="1417"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A2B74"/>
    <w:rsid w:val="000A7516"/>
    <w:rsid w:val="001F1482"/>
    <w:rsid w:val="0022325A"/>
    <w:rsid w:val="002462F3"/>
    <w:rsid w:val="003573F1"/>
    <w:rsid w:val="0036390F"/>
    <w:rsid w:val="003A04CE"/>
    <w:rsid w:val="004A75C9"/>
    <w:rsid w:val="004C640F"/>
    <w:rsid w:val="0051711D"/>
    <w:rsid w:val="00664ABA"/>
    <w:rsid w:val="007B34A3"/>
    <w:rsid w:val="007C4398"/>
    <w:rsid w:val="00814DD8"/>
    <w:rsid w:val="0086143B"/>
    <w:rsid w:val="00BC42D2"/>
    <w:rsid w:val="00BE2071"/>
    <w:rsid w:val="00CA7248"/>
    <w:rsid w:val="00CB1DB3"/>
    <w:rsid w:val="00D57BBE"/>
    <w:rsid w:val="00DF4F1A"/>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customStyle="1" w:styleId="Nessunaspaziatura">
    <w:name w:val="Nessuna spaziatura"/>
    <w:qFormat/>
    <w:rsid w:val="00814DD8"/>
    <w:pPr>
      <w:spacing w:after="0"/>
    </w:pPr>
    <w:rPr>
      <w:rFonts w:ascii="Calibri" w:eastAsia="Calibri" w:hAnsi="Calibri" w:cs="Times New Roman"/>
      <w:sz w:val="22"/>
      <w:szCs w:val="22"/>
      <w:lang w:val="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nini@pediatria.unipd.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_p0505@yahoo.it" TargetMode="External"/><Relationship Id="rId6" Type="http://schemas.openxmlformats.org/officeDocument/2006/relationships/hyperlink" Target="mailto:mfarina@pediatria.unipd.it" TargetMode="External"/><Relationship Id="rId7" Type="http://schemas.openxmlformats.org/officeDocument/2006/relationships/hyperlink" Target="mailto:agosto@pediatria.unipd.it" TargetMode="External"/><Relationship Id="rId8" Type="http://schemas.openxmlformats.org/officeDocument/2006/relationships/hyperlink" Target="mailto:doctoraigor@hotmail.com" TargetMode="External"/><Relationship Id="rId9" Type="http://schemas.openxmlformats.org/officeDocument/2006/relationships/hyperlink" Target="mailto:stefano.sartori@unipd.it" TargetMode="External"/><Relationship Id="rId10" Type="http://schemas.openxmlformats.org/officeDocument/2006/relationships/hyperlink" Target="mailto:vecchi@pediatria.unipd.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3085</Characters>
  <Application>Microsoft Macintosh Word</Application>
  <DocSecurity>0</DocSecurity>
  <Lines>25</Lines>
  <Paragraphs>6</Paragraphs>
  <ScaleCrop>false</ScaleCrop>
  <Company>Sté MEDIAXA</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7</cp:revision>
  <dcterms:created xsi:type="dcterms:W3CDTF">2012-04-09T20:18:00Z</dcterms:created>
  <dcterms:modified xsi:type="dcterms:W3CDTF">2012-04-09T20:24:00Z</dcterms:modified>
</cp:coreProperties>
</file>